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4D" w:rsidRDefault="002D391A" w:rsidP="00A74143">
      <w:pPr>
        <w:widowControl w:val="0"/>
        <w:jc w:val="right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:rsidR="00FB604D" w:rsidRDefault="002D391A" w:rsidP="00A74143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ПРАВИТЕЛЬСТВО</w:t>
      </w:r>
    </w:p>
    <w:p w:rsidR="00FB604D" w:rsidRDefault="002D391A" w:rsidP="00A74143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FB604D" w:rsidRDefault="00FB604D" w:rsidP="00A74143">
      <w:pPr>
        <w:widowControl w:val="0"/>
        <w:jc w:val="center"/>
        <w:rPr>
          <w:rFonts w:eastAsia="Times New Roman"/>
          <w:bCs/>
          <w:sz w:val="28"/>
          <w:szCs w:val="28"/>
        </w:rPr>
      </w:pPr>
    </w:p>
    <w:p w:rsidR="00FB604D" w:rsidRDefault="002D391A" w:rsidP="00A74143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FB604D" w:rsidRDefault="00FB604D" w:rsidP="00A74143">
      <w:pPr>
        <w:widowControl w:val="0"/>
        <w:jc w:val="center"/>
        <w:rPr>
          <w:rFonts w:eastAsia="Times New Roman"/>
          <w:bCs/>
          <w:sz w:val="28"/>
          <w:szCs w:val="28"/>
        </w:rPr>
      </w:pPr>
    </w:p>
    <w:p w:rsidR="00FB604D" w:rsidRDefault="002D391A" w:rsidP="00A74143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от ___________ № _____</w:t>
      </w:r>
    </w:p>
    <w:p w:rsidR="00FB604D" w:rsidRDefault="002D391A" w:rsidP="00A74143">
      <w:pPr>
        <w:widowControl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г. Ханты-Мансийск</w:t>
      </w:r>
    </w:p>
    <w:p w:rsidR="00FB604D" w:rsidRDefault="00FB604D" w:rsidP="00A74143">
      <w:pPr>
        <w:widowControl w:val="0"/>
        <w:jc w:val="center"/>
        <w:rPr>
          <w:rFonts w:eastAsia="Times New Roman"/>
          <w:sz w:val="28"/>
          <w:szCs w:val="28"/>
        </w:rPr>
      </w:pPr>
    </w:p>
    <w:p w:rsidR="00A74143" w:rsidRDefault="00A74143" w:rsidP="00A74143">
      <w:pPr>
        <w:widowControl w:val="0"/>
        <w:jc w:val="center"/>
        <w:rPr>
          <w:rFonts w:eastAsia="Times New Roman"/>
          <w:sz w:val="28"/>
          <w:szCs w:val="28"/>
        </w:rPr>
      </w:pPr>
    </w:p>
    <w:p w:rsidR="00A74143" w:rsidRDefault="00A74143" w:rsidP="00A74143">
      <w:pPr>
        <w:widowControl w:val="0"/>
        <w:jc w:val="center"/>
        <w:rPr>
          <w:rFonts w:eastAsia="Times New Roman"/>
          <w:sz w:val="28"/>
          <w:szCs w:val="28"/>
        </w:rPr>
      </w:pPr>
    </w:p>
    <w:p w:rsidR="00A74143" w:rsidRDefault="002D391A" w:rsidP="00A741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стандарте межведомственного взаимодействия </w:t>
      </w:r>
    </w:p>
    <w:p w:rsidR="00A74143" w:rsidRDefault="002D391A" w:rsidP="00A741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оказанию ранней помощи детям и их семьям </w:t>
      </w:r>
    </w:p>
    <w:p w:rsidR="00FB604D" w:rsidRDefault="002D391A" w:rsidP="00A741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Ханты-Мансийском автономном округе – Югре </w:t>
      </w:r>
    </w:p>
    <w:p w:rsidR="00FB604D" w:rsidRDefault="00FB604D" w:rsidP="00A7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4143" w:rsidRDefault="00A74143" w:rsidP="00A74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604D" w:rsidRDefault="002D391A" w:rsidP="00A74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highlight w:val="white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>федеральными законами от 24 ноября 1995 года №</w:t>
      </w:r>
      <w:r w:rsidR="00A7414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181-ФЗ «О социальной защите инвалидов в Российской Федерации»,</w:t>
      </w:r>
      <w:r w:rsidR="00A741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A7414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21 ноября 2011 года № 323-ФЗ «Об основах охраны здоровья граждан в Российской Федерации», от 29 декабря 2012 года № 273-ФЗ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«Об</w:t>
      </w:r>
      <w:r w:rsidR="00A7414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образовании в Российской Федерации», от 28 декабря 2013 года </w:t>
      </w:r>
      <w:r w:rsidR="00A74143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№ 442-ФЗ «Об основах социального обслужив</w:t>
      </w:r>
      <w:r>
        <w:rPr>
          <w:rFonts w:eastAsia="Times New Roman"/>
          <w:sz w:val="28"/>
          <w:szCs w:val="28"/>
          <w:highlight w:val="white"/>
        </w:rPr>
        <w:t>ания граждан в Российской Федерации», Законом Ханты-Мансийского автономного округа – Югры от</w:t>
      </w:r>
      <w:r w:rsidR="00A74143">
        <w:rPr>
          <w:rFonts w:eastAsia="Times New Roman"/>
          <w:sz w:val="28"/>
          <w:szCs w:val="28"/>
          <w:highlight w:val="white"/>
        </w:rPr>
        <w:t> </w:t>
      </w:r>
      <w:r>
        <w:rPr>
          <w:rFonts w:eastAsia="Times New Roman"/>
          <w:sz w:val="28"/>
          <w:szCs w:val="28"/>
          <w:highlight w:val="white"/>
        </w:rPr>
        <w:t xml:space="preserve">12 октября 2005 года № 73-оз «О Правительстве Ханты-Мансийского автономного округа – Югры»,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постановлением Правительства </w:t>
      </w:r>
      <w:r>
        <w:rPr>
          <w:rFonts w:eastAsia="Times New Roman"/>
          <w:color w:val="000000"/>
          <w:sz w:val="28"/>
          <w:szCs w:val="28"/>
          <w:highlight w:val="white"/>
        </w:rPr>
        <w:br/>
        <w:t xml:space="preserve">Ханты-Мансийского автономного округа </w:t>
      </w:r>
      <w:r>
        <w:rPr>
          <w:rFonts w:eastAsia="Times New Roman"/>
          <w:sz w:val="28"/>
          <w:szCs w:val="28"/>
          <w:highlight w:val="white"/>
        </w:rPr>
        <w:t>–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 Югры от 27 декабря 2021 года </w:t>
      </w:r>
      <w:r>
        <w:rPr>
          <w:rFonts w:eastAsia="Times New Roman"/>
          <w:color w:val="000000"/>
          <w:sz w:val="28"/>
          <w:szCs w:val="28"/>
          <w:highlight w:val="white"/>
        </w:rPr>
        <w:br/>
        <w:t xml:space="preserve">№ 596-п «О мерах по реализации государственной программы </w:t>
      </w:r>
      <w:r>
        <w:rPr>
          <w:rFonts w:eastAsia="Times New Roman"/>
          <w:color w:val="000000"/>
          <w:sz w:val="28"/>
          <w:szCs w:val="28"/>
          <w:highlight w:val="white"/>
        </w:rPr>
        <w:br/>
        <w:t xml:space="preserve">Ханты-Мансийского автономного округа </w:t>
      </w:r>
      <w:r>
        <w:rPr>
          <w:rFonts w:eastAsia="Times New Roman"/>
          <w:sz w:val="28"/>
          <w:szCs w:val="28"/>
          <w:highlight w:val="white"/>
        </w:rPr>
        <w:t xml:space="preserve">–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Югры «Социальное и демографическое развитие», </w:t>
      </w:r>
      <w:r>
        <w:rPr>
          <w:rFonts w:eastAsia="Times New Roman"/>
          <w:sz w:val="28"/>
          <w:szCs w:val="28"/>
          <w:highlight w:val="white"/>
        </w:rPr>
        <w:t xml:space="preserve">учитывая решение Общественного совета при Департаменте социального развития Ханты-Мансийского автономного округа – Югры (протокол заседания от 18 июля 2023 года № 35), </w:t>
      </w:r>
      <w:r>
        <w:rPr>
          <w:sz w:val="28"/>
          <w:szCs w:val="28"/>
          <w:highlight w:val="white"/>
        </w:rPr>
        <w:t>Правительство</w:t>
      </w:r>
      <w:r>
        <w:rPr>
          <w:rFonts w:eastAsia="Times New Roman"/>
          <w:sz w:val="28"/>
          <w:szCs w:val="28"/>
          <w:highlight w:val="white"/>
        </w:rPr>
        <w:t xml:space="preserve"> Ханты-Мансийского автономного округа – Югры </w:t>
      </w:r>
      <w:r>
        <w:rPr>
          <w:rFonts w:eastAsia="Times New Roman"/>
          <w:sz w:val="28"/>
          <w:szCs w:val="28"/>
          <w:highlight w:val="white"/>
        </w:rPr>
        <w:br/>
      </w:r>
      <w:r>
        <w:rPr>
          <w:b/>
          <w:sz w:val="28"/>
          <w:szCs w:val="28"/>
          <w:highlight w:val="white"/>
        </w:rPr>
        <w:t>п о с т а н о в л я е т</w:t>
      </w:r>
      <w:r>
        <w:rPr>
          <w:rFonts w:eastAsia="Times New Roman"/>
          <w:sz w:val="28"/>
          <w:szCs w:val="28"/>
          <w:highlight w:val="white"/>
        </w:rPr>
        <w:t xml:space="preserve">: </w:t>
      </w:r>
    </w:p>
    <w:p w:rsidR="00FB604D" w:rsidRDefault="00FB604D" w:rsidP="00A74143">
      <w:pPr>
        <w:ind w:firstLine="708"/>
        <w:jc w:val="both"/>
        <w:rPr>
          <w:rFonts w:eastAsia="Times New Roman"/>
          <w:sz w:val="28"/>
          <w:szCs w:val="28"/>
        </w:rPr>
      </w:pPr>
    </w:p>
    <w:p w:rsidR="00FB604D" w:rsidRDefault="002D391A" w:rsidP="00A7414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стандарт межведомственного взаимодействия по оказанию ранней помощи детям и их семьям</w:t>
      </w:r>
      <w:r w:rsidR="00A7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Ханты-Мансийском автономном округе – Югре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B604D" w:rsidRDefault="00FB604D" w:rsidP="00A7414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604D" w:rsidRDefault="00FB604D" w:rsidP="00A7414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604D" w:rsidRDefault="00FB604D" w:rsidP="00A7414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604D" w:rsidRDefault="002D391A" w:rsidP="00A74143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Губернатор</w:t>
      </w:r>
    </w:p>
    <w:p w:rsidR="00FB604D" w:rsidRDefault="002D391A" w:rsidP="00A74143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Ханты-Мансийского</w:t>
      </w:r>
    </w:p>
    <w:p w:rsidR="00A74143" w:rsidRDefault="002D391A" w:rsidP="00A74143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автономного округа – Югры</w:t>
      </w:r>
      <w:r w:rsidR="00A74143">
        <w:rPr>
          <w:rFonts w:eastAsia="Times New Roman"/>
          <w:sz w:val="28"/>
          <w:szCs w:val="28"/>
        </w:rPr>
        <w:tab/>
      </w:r>
      <w:r w:rsidR="00A74143">
        <w:rPr>
          <w:rFonts w:eastAsia="Times New Roman"/>
          <w:sz w:val="28"/>
          <w:szCs w:val="28"/>
        </w:rPr>
        <w:tab/>
      </w:r>
      <w:r w:rsidR="00A74143">
        <w:rPr>
          <w:rFonts w:eastAsia="Times New Roman"/>
          <w:sz w:val="28"/>
          <w:szCs w:val="28"/>
        </w:rPr>
        <w:tab/>
      </w:r>
      <w:r w:rsidR="00A74143">
        <w:rPr>
          <w:rFonts w:eastAsia="Times New Roman"/>
          <w:sz w:val="28"/>
          <w:szCs w:val="28"/>
        </w:rPr>
        <w:tab/>
      </w:r>
      <w:r w:rsidR="00A74143">
        <w:rPr>
          <w:rFonts w:eastAsia="Times New Roman"/>
          <w:sz w:val="28"/>
          <w:szCs w:val="28"/>
        </w:rPr>
        <w:tab/>
      </w:r>
      <w:r w:rsidR="00A74143">
        <w:rPr>
          <w:rFonts w:eastAsia="Times New Roman"/>
          <w:sz w:val="28"/>
          <w:szCs w:val="28"/>
        </w:rPr>
        <w:tab/>
        <w:t xml:space="preserve">  </w:t>
      </w:r>
      <w:r w:rsidR="008E575F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Н.В.Комарова</w:t>
      </w:r>
    </w:p>
    <w:p w:rsidR="00FB604D" w:rsidRDefault="002D391A" w:rsidP="00A74143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 w:clear="all"/>
      </w:r>
    </w:p>
    <w:p w:rsidR="00FB604D" w:rsidRDefault="002D391A" w:rsidP="00A74143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B604D" w:rsidRDefault="002D391A" w:rsidP="00A74143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FB604D" w:rsidRDefault="002D391A" w:rsidP="00A74143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FB604D" w:rsidRDefault="002D391A" w:rsidP="00A74143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автономного округа – Югры</w:t>
      </w:r>
    </w:p>
    <w:p w:rsidR="00FB604D" w:rsidRDefault="002D391A" w:rsidP="00A74143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74143">
        <w:rPr>
          <w:sz w:val="28"/>
          <w:szCs w:val="28"/>
        </w:rPr>
        <w:t xml:space="preserve">   июля </w:t>
      </w:r>
      <w:r>
        <w:rPr>
          <w:sz w:val="28"/>
          <w:szCs w:val="28"/>
        </w:rPr>
        <w:t>2023 года №______</w:t>
      </w:r>
    </w:p>
    <w:p w:rsidR="00FB604D" w:rsidRDefault="00FB604D" w:rsidP="00A74143">
      <w:pPr>
        <w:shd w:val="clear" w:color="auto" w:fill="FFFFFF" w:themeFill="background1"/>
        <w:rPr>
          <w:sz w:val="28"/>
          <w:szCs w:val="28"/>
        </w:rPr>
      </w:pPr>
    </w:p>
    <w:p w:rsidR="00A74143" w:rsidRDefault="002D391A" w:rsidP="00A7414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межведомственного взаимодействия </w:t>
      </w:r>
    </w:p>
    <w:p w:rsidR="00A74143" w:rsidRDefault="002D391A" w:rsidP="00A7414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оказанию ранней помощи детям и их семьям </w:t>
      </w:r>
    </w:p>
    <w:p w:rsidR="00FB604D" w:rsidRDefault="002D391A" w:rsidP="00A7414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 </w:t>
      </w:r>
    </w:p>
    <w:p w:rsidR="00FB604D" w:rsidRDefault="002D391A" w:rsidP="00A7414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Стандарт)</w:t>
      </w:r>
    </w:p>
    <w:p w:rsidR="00A74143" w:rsidRDefault="00A74143" w:rsidP="00A7414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604D" w:rsidRDefault="002D391A" w:rsidP="00A74143">
      <w:pPr>
        <w:pStyle w:val="ConsPlusNormal"/>
        <w:shd w:val="clear" w:color="auto" w:fill="FFFFFF" w:themeFill="background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I. Общие положения</w:t>
      </w:r>
    </w:p>
    <w:p w:rsidR="00FB604D" w:rsidRDefault="00FB604D" w:rsidP="00A741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FB604D" w:rsidRDefault="002D391A" w:rsidP="00A7414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1.1. Стандарт разработан в соответствии с комплексным межведомстве</w:t>
      </w:r>
      <w:r>
        <w:rPr>
          <w:sz w:val="28"/>
          <w:szCs w:val="28"/>
          <w:highlight w:val="white"/>
        </w:rPr>
        <w:t>нным планом по совершенствованию ранней помощи детям и их семьям, утвержденным Министерством труда и социальной защиты Российской Федерации и Министерством просвещения Российской Федерации от 16 декабря 2022 года № 1/ГК-765/07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, и </w:t>
      </w:r>
      <w:r>
        <w:rPr>
          <w:sz w:val="28"/>
          <w:szCs w:val="28"/>
          <w:highlight w:val="white"/>
        </w:rPr>
        <w:t>определяет механизм и условия межведомственного взаимодействия по оказанию ранней помощи детям, нуждающимся в ней, и их семьям в Ханты-Мансийском автономном округе – Югре (далее – автономный округ).</w:t>
      </w:r>
    </w:p>
    <w:p w:rsidR="00FB604D" w:rsidRDefault="002D391A" w:rsidP="00A74143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К </w:t>
      </w:r>
      <w:r>
        <w:rPr>
          <w:color w:val="000000" w:themeColor="text1"/>
          <w:sz w:val="28"/>
          <w:szCs w:val="28"/>
          <w:highlight w:val="white"/>
        </w:rPr>
        <w:t>детям, нуждающимся в ранней помощи</w:t>
      </w:r>
      <w:r w:rsidR="00A74143">
        <w:rPr>
          <w:color w:val="000000" w:themeColor="text1"/>
          <w:sz w:val="28"/>
          <w:szCs w:val="28"/>
          <w:highlight w:val="white"/>
        </w:rPr>
        <w:t>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относятся дети в возрасте от рождения до 3 лет по следующим критериям: </w:t>
      </w:r>
    </w:p>
    <w:p w:rsidR="00FB604D" w:rsidRDefault="002D391A" w:rsidP="00A74143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дети-инвалиды;</w:t>
      </w:r>
    </w:p>
    <w:p w:rsidR="00FB604D" w:rsidRDefault="002D391A" w:rsidP="00A74143">
      <w:pPr>
        <w:pStyle w:val="26"/>
        <w:spacing w:before="0"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дети с ограниченными возможностями здоровья; </w:t>
      </w:r>
    </w:p>
    <w:p w:rsidR="00FB604D" w:rsidRDefault="002D391A" w:rsidP="00A74143">
      <w:pPr>
        <w:pStyle w:val="26"/>
        <w:spacing w:before="0" w:after="0" w:line="240" w:lineRule="auto"/>
        <w:ind w:firstLine="709"/>
        <w:jc w:val="both"/>
      </w:pPr>
      <w:r>
        <w:rPr>
          <w:highlight w:val="white"/>
        </w:rPr>
        <w:t xml:space="preserve">дети, не имеющие </w:t>
      </w:r>
      <w:r>
        <w:t xml:space="preserve">статуса «ребенок-инвалид», у которых выявлена задержка физического, психического развития или стойкое нарушение функций организма и ограничений жизнедеятельности; </w:t>
      </w:r>
    </w:p>
    <w:p w:rsidR="00FB604D" w:rsidRDefault="002D391A" w:rsidP="00A74143">
      <w:pPr>
        <w:pStyle w:val="26"/>
        <w:spacing w:before="0" w:after="0" w:line="240" w:lineRule="auto"/>
        <w:ind w:firstLine="709"/>
        <w:jc w:val="both"/>
      </w:pPr>
      <w:r>
        <w:t>дети c заболеваниями, приводящими к нарушениям в физическом, психическом развитии, с риском развития стойкого нарушения функций организма и ограничений жизнедеятельности;</w:t>
      </w:r>
    </w:p>
    <w:p w:rsidR="00FB604D" w:rsidRDefault="002D391A" w:rsidP="00A74143">
      <w:pPr>
        <w:pStyle w:val="26"/>
        <w:spacing w:before="0" w:after="0" w:line="240" w:lineRule="auto"/>
        <w:ind w:firstLine="709"/>
        <w:jc w:val="both"/>
      </w:pPr>
      <w:r>
        <w:t xml:space="preserve">дети-сироты и дети, оставшиеся без попечения родителей, воспитывающиеся в семьях опекунов, попечителей, приемных родителей, а также в организациях (учреждениях) для детей-сирот и детей, оставшихся без попечения родителей; </w:t>
      </w:r>
    </w:p>
    <w:p w:rsidR="00FB604D" w:rsidRDefault="002D391A" w:rsidP="00A74143">
      <w:pPr>
        <w:pStyle w:val="26"/>
        <w:spacing w:before="0" w:after="0" w:line="240" w:lineRule="auto"/>
        <w:ind w:firstLine="709"/>
        <w:jc w:val="both"/>
        <w:rPr>
          <w:highlight w:val="white"/>
        </w:rPr>
      </w:pPr>
      <w:r>
        <w:t>дети, находящиеся в трудной жизненной ситуации, социально-опасном положении, выявленные организациями (учреждениями) социального об</w:t>
      </w:r>
      <w:r>
        <w:rPr>
          <w:highlight w:val="white"/>
        </w:rPr>
        <w:t xml:space="preserve">служивания, здравоохранения, образования; </w:t>
      </w:r>
    </w:p>
    <w:p w:rsidR="00FB604D" w:rsidRDefault="002D391A" w:rsidP="00A74143">
      <w:pPr>
        <w:pStyle w:val="ab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дети, родители (законные представители) которых обеспокоены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их физическим, психическим развитием и поведением.</w:t>
      </w:r>
    </w:p>
    <w:p w:rsidR="00FB604D" w:rsidRDefault="002D391A" w:rsidP="00A74143">
      <w:pPr>
        <w:pStyle w:val="26"/>
        <w:spacing w:before="0"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Ранняя помощь для детей старше 3 лет может пролонгироваться </w:t>
      </w:r>
      <w:r w:rsidR="00A74143">
        <w:rPr>
          <w:highlight w:val="white"/>
        </w:rPr>
        <w:br/>
      </w:r>
      <w:r>
        <w:rPr>
          <w:highlight w:val="white"/>
        </w:rPr>
        <w:t xml:space="preserve">до 7 – 8 летнего возраста по ежегодному решению консилиума организации (учреждения), предоставляющей услуги ранней помощи, с целью закрепления положительной динамики </w:t>
      </w:r>
      <w:r>
        <w:rPr>
          <w:color w:val="000000"/>
          <w:highlight w:val="white"/>
          <w:shd w:val="clear" w:color="auto" w:fill="FFFFFF"/>
        </w:rPr>
        <w:t xml:space="preserve">социального, эмоционального и </w:t>
      </w:r>
      <w:r>
        <w:rPr>
          <w:color w:val="000000"/>
          <w:highlight w:val="white"/>
          <w:shd w:val="clear" w:color="auto" w:fill="FFFFFF"/>
        </w:rPr>
        <w:lastRenderedPageBreak/>
        <w:t xml:space="preserve">поведенческого развития </w:t>
      </w:r>
      <w:r>
        <w:rPr>
          <w:highlight w:val="white"/>
        </w:rPr>
        <w:t xml:space="preserve">ребенка, нуждающегося в ранней помощи, с его семьей, окружающими, сверстниками, в том числе при переходе в образовательную организацию и сопровождении ребенка в ходе адаптации в ней. </w:t>
      </w:r>
    </w:p>
    <w:p w:rsidR="00FB604D" w:rsidRDefault="002D391A" w:rsidP="00A74143">
      <w:pPr>
        <w:pStyle w:val="26"/>
        <w:spacing w:before="0" w:after="0" w:line="240" w:lineRule="auto"/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highlight w:val="white"/>
        </w:rPr>
        <w:t>При необходимости пролонгируется весь индивидуальный маршрут ранней помощи или отдельные услуги ранней помощи (к</w:t>
      </w:r>
      <w:r>
        <w:rPr>
          <w:color w:val="000000"/>
          <w:highlight w:val="white"/>
          <w:shd w:val="clear" w:color="auto" w:fill="FFFFFF"/>
        </w:rPr>
        <w:t xml:space="preserve">онсультирование родителей (законных представителей) ребенка, нуждающегося в ней, </w:t>
      </w:r>
      <w:r w:rsidR="008E575F">
        <w:rPr>
          <w:color w:val="000000"/>
          <w:highlight w:val="white"/>
          <w:shd w:val="clear" w:color="auto" w:fill="FFFFFF"/>
        </w:rPr>
        <w:br/>
      </w:r>
      <w:r>
        <w:rPr>
          <w:color w:val="000000"/>
          <w:highlight w:val="white"/>
          <w:shd w:val="clear" w:color="auto" w:fill="FFFFFF"/>
        </w:rPr>
        <w:t>в период его адаптации в образовательной организации (учреждении)</w:t>
      </w:r>
      <w:r>
        <w:rPr>
          <w:highlight w:val="white"/>
        </w:rPr>
        <w:t>).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en-US"/>
        </w:rPr>
        <w:t>1.3. Цель, задачи и результаты реализации Стандарта: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 Стандарта – </w:t>
      </w:r>
      <w:r>
        <w:rPr>
          <w:rFonts w:eastAsia="Times New Roman"/>
          <w:color w:val="333333"/>
          <w:sz w:val="28"/>
          <w:szCs w:val="28"/>
          <w:highlight w:val="white"/>
        </w:rPr>
        <w:t>ор</w:t>
      </w:r>
      <w:r>
        <w:rPr>
          <w:rFonts w:eastAsia="Times New Roman"/>
          <w:color w:val="333333"/>
          <w:sz w:val="28"/>
          <w:szCs w:val="28"/>
        </w:rPr>
        <w:t>ганизация и коорди</w:t>
      </w:r>
      <w:r>
        <w:rPr>
          <w:rFonts w:eastAsia="Times New Roman"/>
          <w:color w:val="333333"/>
          <w:sz w:val="28"/>
          <w:szCs w:val="28"/>
          <w:highlight w:val="white"/>
        </w:rPr>
        <w:t xml:space="preserve">нация системы межведомственного взаимодействия для повышения качества и эффективности оказания ранней помощи детям, нуждающимся в ней, </w:t>
      </w:r>
      <w:r w:rsidR="008E575F">
        <w:rPr>
          <w:rFonts w:eastAsia="Times New Roman"/>
          <w:color w:val="333333"/>
          <w:sz w:val="28"/>
          <w:szCs w:val="28"/>
          <w:highlight w:val="white"/>
        </w:rPr>
        <w:br/>
      </w:r>
      <w:r>
        <w:rPr>
          <w:rFonts w:eastAsia="Times New Roman"/>
          <w:color w:val="333333"/>
          <w:sz w:val="28"/>
          <w:szCs w:val="28"/>
          <w:highlight w:val="white"/>
        </w:rPr>
        <w:t>и их семьям.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Стандарта: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развитие региональной системы комплексной р</w:t>
      </w:r>
      <w:r>
        <w:rPr>
          <w:sz w:val="28"/>
          <w:szCs w:val="28"/>
        </w:rPr>
        <w:t>еабилитации, абилитации, и ее первого этапа – ранней помощи;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и повышение профессиональной компетентности поставщиков услуг ранней помощи; 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унифицирование и </w:t>
      </w:r>
      <w:r>
        <w:rPr>
          <w:color w:val="000000"/>
          <w:sz w:val="28"/>
          <w:szCs w:val="28"/>
          <w:shd w:val="clear" w:color="auto" w:fill="FFFFFF"/>
        </w:rPr>
        <w:t xml:space="preserve">оптимизация </w:t>
      </w:r>
      <w:r>
        <w:rPr>
          <w:sz w:val="28"/>
          <w:szCs w:val="28"/>
        </w:rPr>
        <w:t>форм межведомственного взаимодействия по оказанию ранней помощи;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совершенствованию методов и технологий оказания ранней помощи, их совместимости и взаимодополняемости в сферах здравоохранения, социального обслуживания и образования;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сроков, повышение доступности, качества и эффективности услуг ранней помощи.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реализации Стандарта: 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качественной ранней помощи на всех этапах ее оказания в автономном округе;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снижение уровня инвалидизации, степени психических и физических нарушений у детей в</w:t>
      </w:r>
      <w:r>
        <w:rPr>
          <w:sz w:val="28"/>
          <w:szCs w:val="28"/>
          <w:highlight w:val="white"/>
        </w:rPr>
        <w:t xml:space="preserve"> возрасте от рождения до 3 лет и повышение качества </w:t>
      </w:r>
      <w:r>
        <w:rPr>
          <w:color w:val="000000"/>
          <w:sz w:val="28"/>
          <w:szCs w:val="28"/>
          <w:highlight w:val="white"/>
          <w:shd w:val="clear" w:color="auto" w:fill="FFFFFF"/>
        </w:rPr>
        <w:t>жизни и здоровья этих детей и их семей;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создание оптимальных условий для здорового, естественного развития ребенка и его семьи, их эффективной социализации в общество;</w:t>
      </w:r>
    </w:p>
    <w:p w:rsidR="00FB604D" w:rsidRDefault="002D391A" w:rsidP="00A74143">
      <w:pPr>
        <w:widowControl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формирование позитивного отношения общества к ранней помощи, семьям с особенными детьми.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 </w:t>
      </w:r>
      <w:r w:rsidR="00F935A8">
        <w:rPr>
          <w:sz w:val="28"/>
          <w:szCs w:val="28"/>
          <w:highlight w:val="white"/>
        </w:rPr>
        <w:t>С</w:t>
      </w:r>
      <w:r>
        <w:rPr>
          <w:sz w:val="28"/>
          <w:szCs w:val="28"/>
          <w:highlight w:val="white"/>
        </w:rPr>
        <w:t xml:space="preserve">тандарт регулирует межведомственное взаимодействие Департамента социального развития автономного округа, Департамента </w:t>
      </w:r>
      <w:r>
        <w:rPr>
          <w:rFonts w:eastAsia="Times New Roman"/>
          <w:sz w:val="28"/>
          <w:szCs w:val="28"/>
          <w:highlight w:val="white"/>
        </w:rPr>
        <w:t xml:space="preserve">здравоохранения автономного округа, Департамента образования и науки автономного округа, </w:t>
      </w:r>
      <w:r>
        <w:rPr>
          <w:sz w:val="28"/>
          <w:szCs w:val="28"/>
          <w:highlight w:val="white"/>
        </w:rPr>
        <w:t>подведомственных им организаций (учреждений) по оказанию ранней помощи</w:t>
      </w:r>
      <w:r>
        <w:rPr>
          <w:rFonts w:eastAsia="Times New Roman"/>
          <w:sz w:val="28"/>
          <w:szCs w:val="28"/>
          <w:highlight w:val="white"/>
        </w:rPr>
        <w:t xml:space="preserve"> в соответствии с действующим законодательством в пределах установленных полномочий.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Стандарт также рекомендуется к применению при оказании ранней помощи организациями (учреждениями) иных форм собственности, </w:t>
      </w:r>
      <w:r w:rsidR="008E575F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в том числе некоммерческими.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Участниками межведомственного взаимодействия являются исполнительные органы автономного округа и организации (учреждения), задействованные в организации ранней помощи и оказании услуг ранней помощи. 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Все организации (учреждения) в сферах здравоохранения, социального обслуживания, образования, независимо от их формы собственности, оказывающие раннюю помощь, являются поставщиками услуг ранней помощи.</w:t>
      </w:r>
    </w:p>
    <w:p w:rsidR="00FB604D" w:rsidRDefault="002D391A" w:rsidP="00A74143">
      <w:pPr>
        <w:shd w:val="clear" w:color="auto" w:fill="FFFFFF" w:themeFill="background1"/>
        <w:tabs>
          <w:tab w:val="left" w:pos="0"/>
          <w:tab w:val="left" w:pos="993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1.4.1. Участники межведомственного взаимодействия осуществляют</w:t>
      </w:r>
      <w:r>
        <w:rPr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взаимодействие по оказанию ранней помощи детям, нуждающимся в ней, </w:t>
      </w:r>
      <w:r w:rsidR="008E575F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и их семьям в целях с</w:t>
      </w:r>
      <w:r>
        <w:rPr>
          <w:sz w:val="28"/>
          <w:szCs w:val="28"/>
        </w:rPr>
        <w:t>одействия оптимальному развитию и формированию психического, физического здоровья, их вовлечение в естественные жизненные ситуации, включения в среду сверстников и интеграцию в общество, создания условий для здорового, комфортного психологического климата в семье, формирования позитивного взаимодействия и отношени</w:t>
      </w:r>
      <w:r>
        <w:rPr>
          <w:sz w:val="28"/>
          <w:szCs w:val="28"/>
          <w:highlight w:val="white"/>
        </w:rPr>
        <w:t>й детей и родителей (законных представителей), повышения компетентности последних.</w:t>
      </w:r>
    </w:p>
    <w:p w:rsidR="00FB604D" w:rsidRDefault="002D391A" w:rsidP="00A74143">
      <w:pPr>
        <w:pStyle w:val="ab"/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Естественные жизненные ситуации ребенка – ситуации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привычных условиях жизни </w:t>
      </w:r>
      <w:r>
        <w:rPr>
          <w:rFonts w:ascii="Times New Roman" w:hAnsi="Times New Roman" w:cs="Times New Roman"/>
          <w:sz w:val="28"/>
          <w:szCs w:val="28"/>
          <w:highlight w:val="white"/>
        </w:rPr>
        <w:t>дома, вне дома, в обществе, характерные для типично развивающихся сверстников: просыпание, дневной и ночной сон, купание и умывание, прогулка, прием пищи, одевание и раздевание, туалет или смена подгузника, игра с другими детьм</w:t>
      </w:r>
      <w:r>
        <w:rPr>
          <w:rFonts w:ascii="Times New Roman" w:hAnsi="Times New Roman" w:cs="Times New Roman"/>
          <w:sz w:val="28"/>
          <w:szCs w:val="28"/>
        </w:rPr>
        <w:t>и, одиночная игра, досуг (далее – естественные жизненные ситуации).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1.4.2. Координацию мероприятий по развитию системы ранней помощи детям, нуждающимся в ранней помощи, и их семьям в автономном округе осуществляет Департамент социального развития автономного округа.</w:t>
      </w:r>
      <w:r>
        <w:rPr>
          <w:rFonts w:eastAsia="Times New Roman"/>
          <w:sz w:val="28"/>
          <w:szCs w:val="28"/>
        </w:rPr>
        <w:t xml:space="preserve"> 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1.4.3. </w:t>
      </w:r>
      <w:r>
        <w:rPr>
          <w:rFonts w:eastAsia="Times New Roman"/>
          <w:sz w:val="28"/>
          <w:szCs w:val="28"/>
        </w:rPr>
        <w:t xml:space="preserve">Общую координацию деятельности участников межведомственного взаимодействия </w:t>
      </w:r>
      <w:r>
        <w:rPr>
          <w:sz w:val="28"/>
          <w:szCs w:val="28"/>
        </w:rPr>
        <w:t xml:space="preserve">осуществляет региональный экспертный совет по ранней помощи в автономном округе, состав и положение о котором утверждены распоряжением </w:t>
      </w:r>
      <w:r w:rsidR="00A74143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Губернатора автономного округа от 11 мая 2023 года № 219-р «О региональном экспертном совете по ранней помощи в Ханты-Мансийском автономном округе – Югре».</w:t>
      </w:r>
    </w:p>
    <w:p w:rsidR="00FB604D" w:rsidRDefault="002D391A" w:rsidP="00A74143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1.5. Оказание ранней помощи включает: специализированную помощь, комплексную реабилитацию и абилитацию в сферах здравоохранения, социального обслуживания и образования.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hyperlink r:id="rId8" w:anchor="dst100010" w:tooltip="https://www.consultant.ru/document/cons_doc_LAW_185947/e49872cd02917158885def16cf227ffeff8852d4/#dst100010" w:history="1">
        <w:r>
          <w:rPr>
            <w:rFonts w:eastAsia="Times New Roman"/>
            <w:sz w:val="28"/>
            <w:szCs w:val="28"/>
          </w:rPr>
          <w:t>пециализированная</w:t>
        </w:r>
      </w:hyperlink>
      <w:r>
        <w:rPr>
          <w:rFonts w:eastAsia="Times New Roman"/>
          <w:sz w:val="28"/>
          <w:szCs w:val="28"/>
        </w:rPr>
        <w:t xml:space="preserve"> помощь, оказываемая врачами-специалистами, – система профилактики, диагностики и лечения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медицинская реабилитация.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Комплексная реабилитация – система медицинских, психологических, педагогических и социально-экономических </w:t>
      </w:r>
      <w:r>
        <w:rPr>
          <w:rFonts w:eastAsia="Times New Roman"/>
          <w:sz w:val="28"/>
          <w:szCs w:val="28"/>
        </w:rPr>
        <w:lastRenderedPageBreak/>
        <w:t>мероприятий, направленных на устранение или более полную компенсацию ограничений жизнедеятельности, вызванных нарушением здоровья со стойким расстройством функций организма.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Абилитация – система формирования отсутствовавших у </w:t>
      </w:r>
      <w:r>
        <w:rPr>
          <w:bCs/>
          <w:sz w:val="28"/>
          <w:szCs w:val="28"/>
          <w:shd w:val="clear" w:color="auto" w:fill="FFFFFF"/>
        </w:rPr>
        <w:t>человека</w:t>
      </w:r>
      <w:r>
        <w:rPr>
          <w:rFonts w:eastAsia="Times New Roman"/>
          <w:sz w:val="28"/>
          <w:szCs w:val="28"/>
        </w:rPr>
        <w:t xml:space="preserve"> способностей к бытовой, общественной, профессиональной и иной деятельности. 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Поставщики услуг ранней помощи оказывают ее в соответствии с индивидуальным маршрутом ранней помощи или на иных основаниях (раздел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Стандарта). 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1.6.1. Индивидуальный маршрут ранней помощи ребенку, </w:t>
      </w:r>
      <w:r>
        <w:rPr>
          <w:sz w:val="28"/>
          <w:szCs w:val="28"/>
        </w:rPr>
        <w:t xml:space="preserve">нуждающемуся в </w:t>
      </w:r>
      <w:r>
        <w:rPr>
          <w:rFonts w:eastAsia="Times New Roman"/>
          <w:sz w:val="28"/>
          <w:szCs w:val="28"/>
        </w:rPr>
        <w:t>ней</w:t>
      </w: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 его</w:t>
      </w:r>
      <w:r>
        <w:rPr>
          <w:rFonts w:eastAsia="SimSun"/>
          <w:bCs/>
          <w:sz w:val="28"/>
          <w:szCs w:val="28"/>
        </w:rPr>
        <w:t xml:space="preserve"> семье</w:t>
      </w:r>
      <w:r>
        <w:rPr>
          <w:rFonts w:eastAsia="Times New Roman"/>
          <w:sz w:val="28"/>
          <w:szCs w:val="28"/>
        </w:rPr>
        <w:t xml:space="preserve"> (далее – ИМРП) – документ, оформленный в письменном и электронном виде, составленный на основании оценки функционирования ребенка (проявления активности и участия ребенка в естественных жизненных ситуациях), нуждающегося </w:t>
      </w:r>
      <w:r>
        <w:rPr>
          <w:rFonts w:eastAsia="Times New Roman"/>
          <w:sz w:val="28"/>
          <w:szCs w:val="28"/>
        </w:rPr>
        <w:br/>
        <w:t>в ранней помощи, в контексте развития факторов окружающей среды, включая взаимодействие и отношения, в семье, с родителями (законными представителями) и другими непосредственно ухаживающими за ребенком лицами, содержащий перечень услуг ранней помощи.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1.6.2. Разработку и координацию реализации ИМРП в муниципальных образованиях автономного округа осуществляют междисциплинарные команды специалистов (далее – междисциплинарная команда специалистов). </w:t>
      </w:r>
    </w:p>
    <w:p w:rsidR="00FB604D" w:rsidRDefault="002D391A" w:rsidP="00A74143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Межведомственное взаимодействие по оказанию ранней помощи детям, нуждающимся в ней, и их семьям </w:t>
      </w:r>
      <w:r>
        <w:rPr>
          <w:rFonts w:eastAsia="SimSun"/>
          <w:bCs/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>межведомственное взаимодействие</w:t>
      </w:r>
      <w:r>
        <w:rPr>
          <w:rFonts w:eastAsia="SimSun"/>
          <w:bCs/>
          <w:sz w:val="28"/>
          <w:szCs w:val="28"/>
        </w:rPr>
        <w:t xml:space="preserve">) </w:t>
      </w:r>
      <w:r>
        <w:rPr>
          <w:sz w:val="28"/>
          <w:szCs w:val="28"/>
        </w:rPr>
        <w:t>оказывается при соблюдении следующих принципов: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бесплатности (оказание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взимания платы с родителей (законных представителей));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(доступность услуг для всех детей, нуждающихся в ранней помощи, и их семей);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(доступность информации о ранней помощи для родителей (законных представителей) и других лиц, ухаживающих за детьми, нуждающимися в ней, общественности);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(оказание ранней помощи в течение всего времени действия ИМРП);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семейноцентричности (привлечение родителей (законных представителей) к оказанию ранней помощи, в том числе в оценочные процедуры, разработке и реализации ИМРП, оценке эффективности оказанной ранней помощи);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индивидуальности (оказание ранней помощи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индивидуальными потребностями детей, нуждающихся в ней, и их семей);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естественности и функциональной направленности (оказание ранней помощи и формирование компетенций ребенка в естественных жизненных ситуациях). </w:t>
      </w:r>
    </w:p>
    <w:p w:rsidR="00FB604D" w:rsidRDefault="00FB604D" w:rsidP="00A74143">
      <w:pPr>
        <w:pStyle w:val="ConsPlusTitle"/>
        <w:shd w:val="clear" w:color="auto" w:fill="FFFFFF" w:themeFill="background1"/>
        <w:ind w:firstLine="709"/>
        <w:outlineLvl w:val="2"/>
        <w:rPr>
          <w:b w:val="0"/>
        </w:rPr>
      </w:pPr>
    </w:p>
    <w:p w:rsidR="00FB604D" w:rsidRDefault="002D391A" w:rsidP="00A74143">
      <w:pPr>
        <w:pStyle w:val="ConsPlusNormal"/>
        <w:shd w:val="clear" w:color="auto" w:fill="FFFFFF" w:themeFill="background1"/>
        <w:contextualSpacing/>
        <w:jc w:val="center"/>
        <w:rPr>
          <w:rFonts w:ascii="Times New Roman" w:hAnsi="Times New Roman" w:cs="Times New Roman"/>
          <w:cap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Разде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л I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Порядок межведомственного взаимодействия по оказанию ранней помощи </w:t>
      </w:r>
      <w:r>
        <w:rPr>
          <w:rFonts w:ascii="Times New Roman" w:hAnsi="Times New Roman" w:cs="Times New Roman"/>
          <w:sz w:val="28"/>
          <w:szCs w:val="28"/>
          <w:highlight w:val="white"/>
        </w:rPr>
        <w:t>в автономном округе</w:t>
      </w:r>
    </w:p>
    <w:p w:rsidR="00FB604D" w:rsidRDefault="00FB604D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Формы сотрудничества участников межведомственного взаимодействия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по оказанию ранней помощи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создание сети и ведение перечня поставщиков услуг ранней помощи, действующих с учетом региональных особенностей, размещение на информационных ресурсах информации о данных поставщиках (постоянно);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соглашений о сотрудничестве и совместной деятельности, обязательных для выполнения участниками межведомственного взаимодействия при их совместной работе (при необходимости);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межведомственных комиссий, рабочих групп для проведения совместных совещаний, заседаний (при необходимости);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специалистов организаций, оказывающих раннюю помощь, к работе в междисциплинарных командах специалистов (при необходимости);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выявление детей, ну</w:t>
      </w:r>
      <w:r>
        <w:rPr>
          <w:rFonts w:ascii="Times New Roman" w:hAnsi="Times New Roman" w:cs="Times New Roman"/>
          <w:sz w:val="28"/>
          <w:szCs w:val="28"/>
          <w:highlight w:val="white"/>
        </w:rPr>
        <w:t>ждающихся в ранней помощи, и ведение учета детей, получающих раннюю помощь (постоянно);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информирование родителей (законных представителей) о нуждаемости их ребенка в ранней помощи и поставщиках услуг ранней помощи (в течение 5 рабочих дней с даты выявления нуждаемости в ранней помощи);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обеспечение направления детей, нуждающихся в ранней помощи, и их семей организациями здравоохранения, социального обслуживания, образования к поставщикам услуг ранней помощи (в течение 20 рабочих дней с даты заключения договора об оказании ранней помощи с родителями (законными представителями);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информирование поставщико</w:t>
      </w:r>
      <w:r>
        <w:rPr>
          <w:rFonts w:ascii="Times New Roman" w:hAnsi="Times New Roman" w:cs="Times New Roman"/>
          <w:sz w:val="28"/>
          <w:szCs w:val="28"/>
        </w:rPr>
        <w:t xml:space="preserve">в услуг ранней помощи о направлении к ним детей, нуждающихся в ранней помощи, и их семей (в течение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20 рабочих дней с даты заключения договора об оказании ранней помощи </w:t>
      </w:r>
      <w:r w:rsidR="008E57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</w:t>
      </w:r>
      <w:r>
        <w:rPr>
          <w:rFonts w:ascii="Times New Roman" w:hAnsi="Times New Roman" w:cs="Times New Roman"/>
          <w:sz w:val="28"/>
          <w:szCs w:val="28"/>
          <w:highlight w:val="white"/>
        </w:rPr>
        <w:t>мственности в реализации ИМРП в части сопровождения детей, нуждающихся в ранней помощи, и их семей при смене поставщиков услуг ранней помощи (при необходимости);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организация исполнительными органами автономного округа в сферах здравоохранения, образования, социального обслуживания повышения квалификации согласно единому региональному плану обучения, повышения квалификации, профессиональной подготовки специалистов, оказывающих раннюю помощь (</w:t>
      </w:r>
      <w:r>
        <w:rPr>
          <w:sz w:val="28"/>
          <w:szCs w:val="28"/>
          <w:highlight w:val="white"/>
        </w:rPr>
        <w:t>ежегодно);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организация семинаров, сове</w:t>
      </w:r>
      <w:r>
        <w:rPr>
          <w:rFonts w:ascii="Times New Roman" w:hAnsi="Times New Roman" w:cs="Times New Roman"/>
          <w:sz w:val="28"/>
          <w:szCs w:val="28"/>
        </w:rPr>
        <w:t>щаний, конференций и иных совместных мероприятий по оказанию ранней помощи и участие в них (ежегодно);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информационно-просветительская кампания в средствах массовой информации, на интернет-ресурсах, сайтах поставщиков ранней помощи для информирования родителей (законных представителей) детей в возрасте от рождения до 3 лет по вопросам оказания ранней помощи </w:t>
      </w:r>
      <w:r>
        <w:rPr>
          <w:rFonts w:eastAsia="Times New Roman"/>
          <w:sz w:val="28"/>
          <w:szCs w:val="28"/>
        </w:rPr>
        <w:br/>
        <w:t>(не реже 1 раза в квартал);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информацией, необходимой при оказании ранней помощи с использованием систем электронного документооборота и делопроизводства, в том числе прикладного программного обеспечения «Автоматическая система обработки информации» (постоянно);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информации в целях управления системой ранней помощи в автономном округе, включая контроль качества и эффективности ее оказания (ежегодно). </w:t>
      </w:r>
    </w:p>
    <w:p w:rsidR="00FB604D" w:rsidRDefault="002D391A" w:rsidP="00A74143">
      <w:pPr>
        <w:pStyle w:val="26"/>
        <w:shd w:val="clear" w:color="auto" w:fill="auto"/>
        <w:spacing w:before="0" w:after="0" w:line="240" w:lineRule="auto"/>
        <w:ind w:firstLine="709"/>
        <w:jc w:val="both"/>
        <w:rPr>
          <w:rFonts w:eastAsiaTheme="minorHAnsi"/>
        </w:rPr>
      </w:pPr>
      <w:r>
        <w:t>Участники межведомственного взаимодействия осуществляют</w:t>
      </w:r>
      <w:r>
        <w:rPr>
          <w:rFonts w:eastAsiaTheme="minorHAnsi"/>
        </w:rPr>
        <w:t xml:space="preserve"> работу с персональными данными детей, нуждающихся в ранней помощи, </w:t>
      </w:r>
      <w:r w:rsidR="008E575F">
        <w:rPr>
          <w:rFonts w:eastAsiaTheme="minorHAnsi"/>
        </w:rPr>
        <w:br/>
      </w:r>
      <w:r>
        <w:rPr>
          <w:rFonts w:eastAsiaTheme="minorHAnsi"/>
        </w:rPr>
        <w:t xml:space="preserve">и их семей, в том числе с использованием </w:t>
      </w:r>
      <w:r>
        <w:t>государственной информационной сис</w:t>
      </w:r>
      <w:r>
        <w:rPr>
          <w:highlight w:val="white"/>
        </w:rPr>
        <w:t>темы в прикладном программном обеспечении «Автоматическая система обработки информации»</w:t>
      </w:r>
      <w:r>
        <w:rPr>
          <w:rFonts w:eastAsiaTheme="minorHAnsi"/>
          <w:highlight w:val="white"/>
        </w:rPr>
        <w:t xml:space="preserve">, в соответствии </w:t>
      </w:r>
      <w:r w:rsidR="008E575F">
        <w:rPr>
          <w:rFonts w:eastAsiaTheme="minorHAnsi"/>
          <w:highlight w:val="white"/>
        </w:rPr>
        <w:br/>
      </w:r>
      <w:r>
        <w:rPr>
          <w:rFonts w:eastAsiaTheme="minorHAnsi"/>
          <w:highlight w:val="white"/>
        </w:rPr>
        <w:t xml:space="preserve">с постановлением Правительства Российской Федерации от 1 ноября </w:t>
      </w:r>
      <w:r w:rsidR="008E575F">
        <w:rPr>
          <w:rFonts w:eastAsiaTheme="minorHAnsi"/>
          <w:highlight w:val="white"/>
        </w:rPr>
        <w:br/>
      </w:r>
      <w:r>
        <w:rPr>
          <w:rFonts w:eastAsiaTheme="minorHAnsi"/>
          <w:highlight w:val="white"/>
        </w:rPr>
        <w:t>2012 года № 1119 «Об</w:t>
      </w:r>
      <w:r w:rsidR="00A55959">
        <w:rPr>
          <w:rFonts w:eastAsiaTheme="minorHAnsi"/>
          <w:highlight w:val="white"/>
        </w:rPr>
        <w:t> </w:t>
      </w:r>
      <w:r>
        <w:rPr>
          <w:rFonts w:eastAsiaTheme="minorHAnsi"/>
          <w:highlight w:val="white"/>
        </w:rPr>
        <w:t xml:space="preserve">утверждении требований к защите персональных данных при их обработке </w:t>
      </w:r>
      <w:r>
        <w:rPr>
          <w:rFonts w:eastAsiaTheme="minorHAnsi"/>
        </w:rPr>
        <w:t>в информационных системах персональных данных».</w:t>
      </w:r>
    </w:p>
    <w:p w:rsidR="00FB604D" w:rsidRDefault="002D391A" w:rsidP="00A7414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Обмен информацией участники межведомственного взаимодействия осуществляют в соответствии с соглашением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highlight w:val="white"/>
        </w:rPr>
        <w:t>об информационном взаимодействии, заключенным</w:t>
      </w:r>
      <w:r>
        <w:rPr>
          <w:rFonts w:eastAsia="Times New Roman"/>
          <w:color w:val="FF0000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>между Департаментом социального развития автономного округа, Департаментом здравоохранения автономного округа, Департаментом информацион</w:t>
      </w:r>
      <w:r>
        <w:rPr>
          <w:rFonts w:eastAsia="Times New Roman"/>
          <w:sz w:val="28"/>
          <w:szCs w:val="28"/>
        </w:rPr>
        <w:t>ных технологий и цифрового развития автономного округа, Департаментом культуры автономного округа, Департаментом образования и науки автономного округа, Департаментом труда и занятости населения автономного округа, Департаментом физической культуры и спорта автономного округа.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2.2. Оказание ранней помощи участниками межведомственного взаимодействия включает следующие этапы: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обработка первичного обращения родителей (законных представителей) в организацию, оказывающую услуги ранней помощи;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прием документов и заключение договора с родителями (законными представителями) об оказании ранней помощи; 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определение нуждаемости ребенка в разработке ИМРП (первичный прием, междисциплинарный консилиум);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оценочных процедур для разработки ИМРП;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ИМРП;</w:t>
      </w:r>
    </w:p>
    <w:p w:rsidR="00FB604D" w:rsidRDefault="002D391A" w:rsidP="00A74143">
      <w:pPr>
        <w:shd w:val="clear" w:color="auto" w:fill="FFFFFF" w:themeFill="background1"/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ИМРП;</w:t>
      </w:r>
    </w:p>
    <w:p w:rsidR="00FB604D" w:rsidRDefault="002D391A" w:rsidP="00A74143">
      <w:pPr>
        <w:shd w:val="clear" w:color="auto" w:fill="FFFFFF" w:themeFill="background1"/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промежуточная и итоговая оценки результативности реализации ИМРП;</w:t>
      </w:r>
    </w:p>
    <w:p w:rsidR="00FB604D" w:rsidRDefault="002D391A" w:rsidP="00A74143">
      <w:pPr>
        <w:shd w:val="clear" w:color="auto" w:fill="FFFFFF" w:themeFill="background1"/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пролонгация или завершение реализации ИМРП;</w:t>
      </w:r>
    </w:p>
    <w:p w:rsidR="00FB604D" w:rsidRDefault="002D391A" w:rsidP="00A74143">
      <w:pPr>
        <w:shd w:val="clear" w:color="auto" w:fill="FFFFFF" w:themeFill="background1"/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содействие переходу ребенка</w:t>
      </w:r>
      <w:r>
        <w:rPr>
          <w:sz w:val="28"/>
          <w:szCs w:val="28"/>
        </w:rPr>
        <w:t>, нуждающегося в ранней помощи,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>в образовательную организацию (учреждение).</w:t>
      </w:r>
    </w:p>
    <w:p w:rsidR="00FB604D" w:rsidRDefault="002D391A" w:rsidP="00A74143">
      <w:pPr>
        <w:tabs>
          <w:tab w:val="left" w:pos="142"/>
        </w:tabs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2.3. Механизм выявления детей, нуждающихся в ранней помощи, и их семей:</w:t>
      </w:r>
    </w:p>
    <w:p w:rsidR="00FB604D" w:rsidRDefault="002D391A" w:rsidP="00A74143">
      <w:pPr>
        <w:tabs>
          <w:tab w:val="left" w:pos="142"/>
        </w:tabs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2.3.1. Выявление детей, нуждающихся в ранней помощи, и их семей осуществляют специалисты организаций (учреждений) (далее – специалисты) здравоохранения, социального обслуживания, образования, в том числе центров психолого-педагогической-медицинской и социальной помощи, психолого-медико-педагогических комиссий</w:t>
      </w:r>
      <w:r w:rsidR="00A5595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(далее – специалисты):</w:t>
      </w:r>
    </w:p>
    <w:p w:rsidR="00FB604D" w:rsidRDefault="002D391A" w:rsidP="00A74143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при обращении родителей (законных представителей) за получением социальных и иных услуг, оказываемых в этих организациях (учреждениях);</w:t>
      </w:r>
    </w:p>
    <w:p w:rsidR="00FB604D" w:rsidRDefault="002D391A" w:rsidP="00A74143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при обращении в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организации (учреждения) родителей (законных представителей), предполагающих наличие нарушений в </w:t>
      </w:r>
      <w:r>
        <w:rPr>
          <w:rFonts w:ascii="Times New Roman" w:eastAsia="SimSun" w:hAnsi="Times New Roman" w:cs="Times New Roman"/>
          <w:sz w:val="28"/>
          <w:szCs w:val="28"/>
        </w:rPr>
        <w:t xml:space="preserve">физическом, психическом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развитии и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детей в возрасте от рождения до 3 лет и потребности в оказании им ранней помощи. </w:t>
      </w:r>
    </w:p>
    <w:p w:rsidR="00FB604D" w:rsidRDefault="002D391A" w:rsidP="00A74143">
      <w:pPr>
        <w:ind w:firstLine="709"/>
        <w:jc w:val="both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</w:rPr>
        <w:t xml:space="preserve">2.3.2. При выявлении проблем в физическом, психическом развитии и здоровье детей в возрасте от рождения до 3 лет в организациях (учреждениях), подведомственных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  <w:highlight w:val="white"/>
        </w:rPr>
        <w:t xml:space="preserve">епартаменту здравоохранения </w:t>
      </w:r>
      <w:r>
        <w:rPr>
          <w:sz w:val="28"/>
          <w:szCs w:val="28"/>
          <w:highlight w:val="white"/>
        </w:rPr>
        <w:t>автономного округа</w:t>
      </w:r>
      <w:r>
        <w:rPr>
          <w:rFonts w:eastAsia="Times New Roman"/>
          <w:sz w:val="28"/>
          <w:szCs w:val="28"/>
          <w:highlight w:val="white"/>
        </w:rPr>
        <w:t>,</w:t>
      </w:r>
      <w:r>
        <w:rPr>
          <w:rFonts w:eastAsia="SimSun"/>
          <w:sz w:val="28"/>
          <w:szCs w:val="28"/>
          <w:highlight w:val="white"/>
        </w:rPr>
        <w:t xml:space="preserve"> специалисты этих организаций (учреждений) направляют их на комплексное обследование междисциплинарной командой специалистов для определения нуждаемости в ранней помощи и </w:t>
      </w:r>
      <w:r>
        <w:rPr>
          <w:sz w:val="28"/>
          <w:szCs w:val="28"/>
          <w:highlight w:val="white"/>
        </w:rPr>
        <w:t>разработки ИМРП</w:t>
      </w:r>
      <w:r>
        <w:rPr>
          <w:rFonts w:eastAsia="SimSun"/>
          <w:sz w:val="28"/>
          <w:szCs w:val="28"/>
          <w:highlight w:val="white"/>
        </w:rPr>
        <w:t>.</w:t>
      </w:r>
    </w:p>
    <w:p w:rsidR="00FB604D" w:rsidRDefault="002D391A" w:rsidP="00A7414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2.3.3. При выявлении детей, нуждающихся в ранней помощи, </w:t>
      </w:r>
      <w:r>
        <w:rPr>
          <w:rFonts w:eastAsia="SimSun"/>
          <w:sz w:val="28"/>
          <w:szCs w:val="28"/>
          <w:highlight w:val="white"/>
        </w:rPr>
        <w:t>и их семей</w:t>
      </w:r>
      <w:r>
        <w:rPr>
          <w:sz w:val="28"/>
          <w:szCs w:val="28"/>
          <w:highlight w:val="white"/>
        </w:rPr>
        <w:t xml:space="preserve"> специалисты организаций (учреждений) социального обслуживания, образования:</w:t>
      </w:r>
    </w:p>
    <w:p w:rsidR="00FB604D" w:rsidRDefault="002D391A" w:rsidP="00A7414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уведомляют медицинскую организацию (учреждение) по месту жительства детей, нуждающихся в ранней помощи, и их семей о факте выявления;</w:t>
      </w:r>
    </w:p>
    <w:p w:rsidR="00FB604D" w:rsidRDefault="002D391A" w:rsidP="00A7414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осуществляют сопровождение семьи до разработки ИМРП.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Направления деятельности по ранней помощи в сферах здравоохранения, социального обслуживания, </w:t>
      </w:r>
      <w:r>
        <w:rPr>
          <w:rFonts w:ascii="Times New Roman" w:hAnsi="Times New Roman" w:cs="Times New Roman"/>
          <w:sz w:val="28"/>
          <w:szCs w:val="28"/>
        </w:rPr>
        <w:t>образования в автономном округе: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Медицинская помощь детям, нуждающимся в ранней помощи, оказывается в соответствии с порядками, стандартами, клиническими рекомендациями оказания медицинской помощи, утверждаемыми Министерством здравоохранения Российской Федерации и обязательными для исполнения всеми медицинскими организациями (учреждениями) на территории Российской Федерации.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Ранняя помощь в сфере здравоохранения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 xml:space="preserve"> в автономном округе в медицинских организациях (учреждениях)</w:t>
      </w:r>
      <w:r w:rsidR="00A5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включает: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выявление детей, нуждающихся в ранней помощи;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обследование детей, нуждающихся в ранней помощи;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подбору питания;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медицинское сопровождение процессов физического, психического развития ребенка-инвалида;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оценочных процедур для разработки на основе ИМРП перечня мероприятий по ранней помощи, реализуемых структурными подразделениями медицинских организаций (учреждений);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проведение промежуточной и итоговой оценок реализации ИМРП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7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сфере здравоохранения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с последующей подготовкой заключения и рекомендаций для родителей (законных представителей).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Ранняя помощь в сфере социального обслуживания оказывается в организациях (учреждениях) социального обслуживания и включает: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(оценку) физического, психического развития детей, нуждающихся в ранней помощи, и их семей (среды);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оценочных процедур для разработки на основе ИМРП перечня мероприятий по ранней помощи, реализуемых в организациях (учреждениях) социального обслуживания;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и обучение членов семьи ребенка, нуждающегося в ранней помощи;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социально-психологические услуги;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социально-бытовых навыков детей, нуждающихся в ранней помощи;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вспомогательных технологий и оборудования;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социально-педагогические услуги, направленные на формирование </w:t>
      </w:r>
      <w:r w:rsidR="008E57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детей, нуждающихся в ранней помощи, позитивных интересов, в том числе в сфере досуга;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социальных услуг по технологии «Передышка»;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групп для поддержки детей, нуждающихся в ранней помощи, и их семей;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социальную поддержку, социальный патронаж детей, нуждающихся </w:t>
      </w:r>
      <w:r>
        <w:rPr>
          <w:rFonts w:ascii="Times New Roman" w:hAnsi="Times New Roman" w:cs="Times New Roman"/>
          <w:sz w:val="28"/>
          <w:szCs w:val="28"/>
        </w:rPr>
        <w:br/>
        <w:t>в ранней помощи, и их семей;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сопровождение детей, нуждающихся в ранней помощи, </w:t>
      </w:r>
      <w:r>
        <w:rPr>
          <w:rFonts w:ascii="Times New Roman" w:hAnsi="Times New Roman" w:cs="Times New Roman"/>
          <w:sz w:val="28"/>
          <w:szCs w:val="28"/>
        </w:rPr>
        <w:br/>
        <w:t>и их семей (содействие в получении правовой, психологической, медицинской помощи, образования, трудоустройстве, мер социальной поддержки, установлении инвалидности);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проведение промежуточной и итоговой оценок реализации ИМРП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7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с последующей подготовкой заключения и рекомендаций для родителей (законных представителей).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2.4.3. Ранняя помощь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 оказывается </w:t>
      </w:r>
      <w:r>
        <w:rPr>
          <w:rFonts w:ascii="Times New Roman" w:eastAsia="SimSun" w:hAnsi="Times New Roman" w:cs="Times New Roman"/>
          <w:sz w:val="28"/>
          <w:szCs w:val="28"/>
        </w:rPr>
        <w:t xml:space="preserve">службами ранней помощи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 (учреждениях) при предъявлении родителями (законными представителями) заключения междисциплинарной команды о необходимости реализации ИМРП и включает:</w:t>
      </w:r>
    </w:p>
    <w:p w:rsidR="00FB604D" w:rsidRDefault="002D391A" w:rsidP="00A7414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проведение оценочных процедур для разработки на основе </w:t>
      </w:r>
      <w:r w:rsidR="008E575F"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t xml:space="preserve">ИМРП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eastAsia="SimSun" w:hAnsi="Times New Roman" w:cs="Times New Roman"/>
          <w:sz w:val="28"/>
          <w:szCs w:val="28"/>
        </w:rPr>
        <w:t xml:space="preserve"> мероприятий по ранней помощи, вариативной </w:t>
      </w:r>
      <w:r w:rsidR="008E575F"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t>модели индивидуального образовательного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8E57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образовательных организациях (учреждениях)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FB604D" w:rsidRDefault="002D391A" w:rsidP="00A741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родителей (законных представителей) в период адаптации </w:t>
      </w:r>
      <w:r>
        <w:rPr>
          <w:rFonts w:eastAsia="SimSun"/>
          <w:sz w:val="28"/>
          <w:szCs w:val="28"/>
        </w:rPr>
        <w:t>детей, нуждающихся в ранней помощи</w:t>
      </w:r>
      <w:r>
        <w:rPr>
          <w:sz w:val="28"/>
          <w:szCs w:val="28"/>
        </w:rPr>
        <w:t>, в образовательной организации (учреждении);</w:t>
      </w:r>
    </w:p>
    <w:p w:rsidR="00FB604D" w:rsidRDefault="002D391A" w:rsidP="00A7414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</w:t>
      </w:r>
      <w:r>
        <w:rPr>
          <w:rFonts w:ascii="Times New Roman" w:eastAsia="SimSun" w:hAnsi="Times New Roman" w:cs="Times New Roman"/>
          <w:sz w:val="28"/>
          <w:szCs w:val="28"/>
        </w:rPr>
        <w:t xml:space="preserve"> формированию и развитию речи, навыков общения, познавательной активности, самообслуживания, бытовых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поддержке социализации детей, нуждающихся в ранней помощи;</w:t>
      </w:r>
    </w:p>
    <w:p w:rsidR="00FB604D" w:rsidRDefault="002D391A" w:rsidP="00A7414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психологическое сопровождение родителей (законных представителей) детей, нуждающихся в ранней помощи;</w:t>
      </w:r>
    </w:p>
    <w:p w:rsidR="00FB604D" w:rsidRDefault="002D391A" w:rsidP="00A7414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краткосрочное </w:t>
      </w:r>
      <w:r>
        <w:rPr>
          <w:sz w:val="28"/>
          <w:szCs w:val="28"/>
        </w:rPr>
        <w:t>оказание</w:t>
      </w:r>
      <w:r>
        <w:rPr>
          <w:rFonts w:eastAsia="SimSun"/>
          <w:sz w:val="28"/>
          <w:szCs w:val="28"/>
        </w:rPr>
        <w:t xml:space="preserve"> ранней помощи детям, нуждающимся </w:t>
      </w:r>
      <w:r>
        <w:rPr>
          <w:rFonts w:eastAsia="SimSun"/>
          <w:sz w:val="28"/>
          <w:szCs w:val="28"/>
        </w:rPr>
        <w:br/>
        <w:t>в ней, без разработки ИМРП;</w:t>
      </w:r>
    </w:p>
    <w:p w:rsidR="00FB604D" w:rsidRDefault="002D391A" w:rsidP="00A7414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пролонгированное консультирование родителей (законных представителей) детей, нуждающихся в ранней помощи, без разработки ИМРП;</w:t>
      </w:r>
    </w:p>
    <w:p w:rsidR="00FB604D" w:rsidRDefault="002D391A" w:rsidP="00A741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недостатков в познавательной и эмоционально-личностной сфере </w:t>
      </w:r>
      <w:r>
        <w:rPr>
          <w:rFonts w:ascii="Times New Roman" w:eastAsia="SimSun" w:hAnsi="Times New Roman" w:cs="Times New Roman"/>
          <w:sz w:val="28"/>
          <w:szCs w:val="28"/>
        </w:rPr>
        <w:t>детей, нуждающихся в ранней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родительской компетентности по особенностям физического, психического развития детей, нуждающихся в ранней помощи, в том числе психолого-педагогическое консультирование родителей (законных представителей); 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психологического состояния и детско-родительских отношений;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психолого-педагогических условий, обеспечивающих развитие </w:t>
      </w:r>
      <w:r>
        <w:rPr>
          <w:rFonts w:ascii="Times New Roman" w:eastAsia="SimSun" w:hAnsi="Times New Roman" w:cs="Times New Roman"/>
          <w:sz w:val="28"/>
          <w:szCs w:val="28"/>
        </w:rPr>
        <w:t>детей, нуждающихся в ранней помощи, организацию развивающей предметно-пространственной 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помощи </w:t>
      </w:r>
      <w:r>
        <w:rPr>
          <w:rFonts w:ascii="Times New Roman" w:eastAsia="SimSun" w:hAnsi="Times New Roman" w:cs="Times New Roman"/>
          <w:sz w:val="28"/>
          <w:szCs w:val="28"/>
        </w:rPr>
        <w:t>детям, нуждающимся в ранней помощи;</w:t>
      </w:r>
    </w:p>
    <w:p w:rsidR="00FB604D" w:rsidRDefault="002D391A" w:rsidP="00A74143">
      <w:pPr>
        <w:pStyle w:val="ab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психолого-педагогическим консилиумом образовательной организации (учреждения), в том числе оценка динамики развития для внесения (при необходимости) изменений и дополнений в рекомендации по организации психолого-педагогического сопровождения детей, нуждающихся в ранней помощи, и их семей, во время обучения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в образовательной организации;</w:t>
      </w:r>
    </w:p>
    <w:p w:rsidR="00FB604D" w:rsidRDefault="002D391A" w:rsidP="00A74143">
      <w:pPr>
        <w:pStyle w:val="ab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проведение промежуточной и итоговой оценок реализации ИМРП;</w:t>
      </w: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проведение промежуточной и итоговой оценок реализации ИМРП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7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>
        <w:rPr>
          <w:rFonts w:ascii="Times New Roman" w:eastAsia="SimSun" w:hAnsi="Times New Roman" w:cs="Times New Roman"/>
          <w:sz w:val="28"/>
          <w:szCs w:val="28"/>
        </w:rPr>
        <w:t>с последующей подготовкой заключения и рекомендаций для родителей (законных представителей).</w:t>
      </w:r>
    </w:p>
    <w:p w:rsidR="00FB604D" w:rsidRDefault="002D391A" w:rsidP="00A74143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2.5. Формирование и функционирование м</w:t>
      </w:r>
      <w:r>
        <w:rPr>
          <w:sz w:val="28"/>
          <w:szCs w:val="28"/>
        </w:rPr>
        <w:t>еждисциплинарных команд специалистов в муниципальных образованиях автономного округа:</w:t>
      </w:r>
    </w:p>
    <w:p w:rsidR="00FB604D" w:rsidRDefault="002D391A" w:rsidP="00A74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Порядок формирования и работы междисциплинарной команды специалистов утверждается распоряжением заместителя Губернатора автономного округа, в ведении которого находится Департамент социального развития автономного округа.</w:t>
      </w:r>
    </w:p>
    <w:p w:rsidR="00FB604D" w:rsidRDefault="002D391A" w:rsidP="00A74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междисциплинарных команд специалистов в муниципальных образованиях автономного округа утверждают совместными приказами организации (учреждения) здравоохранения, социального обслуживания и муниципального органа управления в сфере образования. 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2.5.2</w:t>
      </w:r>
      <w:r w:rsidR="00F935A8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Функции междисциплинарной команды специалистов: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определение состояния детей в возрасте от рождения до 3 лет и их нуждаемости в оказании ранней помощи;</w:t>
      </w:r>
    </w:p>
    <w:p w:rsidR="00FB604D" w:rsidRDefault="002D391A" w:rsidP="00A74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оценочных процедур для разработки ИМРП и мониторинга физического, психического развития детей,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f"/>
          <w:b w:val="0"/>
          <w:sz w:val="28"/>
          <w:szCs w:val="28"/>
          <w:shd w:val="clear" w:color="auto" w:fill="FFFFFF"/>
        </w:rPr>
        <w:t>нуждающихся в ранней помощи</w:t>
      </w:r>
      <w:r>
        <w:rPr>
          <w:sz w:val="28"/>
          <w:szCs w:val="28"/>
        </w:rPr>
        <w:t>;</w:t>
      </w:r>
    </w:p>
    <w:p w:rsidR="00FB604D" w:rsidRDefault="002D391A" w:rsidP="00A74143">
      <w:pPr>
        <w:ind w:firstLine="709"/>
        <w:jc w:val="both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</w:rPr>
        <w:t xml:space="preserve">информирование родителей (законных представителей) </w:t>
      </w:r>
      <w:r>
        <w:rPr>
          <w:sz w:val="28"/>
          <w:szCs w:val="28"/>
        </w:rPr>
        <w:t xml:space="preserve">детей </w:t>
      </w:r>
      <w:r w:rsidR="008E575F">
        <w:rPr>
          <w:sz w:val="28"/>
          <w:szCs w:val="28"/>
        </w:rPr>
        <w:br/>
      </w:r>
      <w:r>
        <w:rPr>
          <w:sz w:val="28"/>
          <w:szCs w:val="28"/>
        </w:rPr>
        <w:t xml:space="preserve">в возрасте от рождения до 3 лет </w:t>
      </w:r>
      <w:r>
        <w:rPr>
          <w:rFonts w:eastAsia="SimSun"/>
          <w:sz w:val="28"/>
          <w:szCs w:val="28"/>
        </w:rPr>
        <w:t>о возможности получения услуг ранней помощи в организа</w:t>
      </w:r>
      <w:r>
        <w:rPr>
          <w:rFonts w:eastAsia="SimSun"/>
          <w:sz w:val="28"/>
          <w:szCs w:val="28"/>
          <w:highlight w:val="white"/>
        </w:rPr>
        <w:t>циях (учреждениях) здравоохранения, социального обслуживания, образования;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SimSun" w:hAnsi="Times New Roman" w:cs="Times New Roman"/>
          <w:sz w:val="28"/>
          <w:szCs w:val="28"/>
          <w:highlight w:val="white"/>
        </w:rPr>
        <w:t>разработка</w:t>
      </w:r>
      <w:r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 ИМРП для детей, нуждающихся в ранней помощи, и их семей при получении согласия родителей (законных представителей)</w:t>
      </w:r>
      <w:r>
        <w:rPr>
          <w:rStyle w:val="af"/>
          <w:rFonts w:ascii="Times New Roman" w:hAnsi="Times New Roman" w:cs="Times New Roman"/>
          <w:b w:val="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highlight w:val="white"/>
          <w:lang w:eastAsia="ru-RU"/>
        </w:rPr>
        <w:t xml:space="preserve">в течение 20 дней с даты заключения договора с ними об оказании </w:t>
      </w:r>
      <w:r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>ранней помощи</w:t>
      </w:r>
      <w:r>
        <w:rPr>
          <w:rFonts w:ascii="Times New Roman" w:eastAsia="SimSun" w:hAnsi="Times New Roman" w:cs="Times New Roman"/>
          <w:bCs/>
          <w:sz w:val="28"/>
          <w:szCs w:val="28"/>
          <w:highlight w:val="white"/>
          <w:lang w:eastAsia="ru-RU"/>
        </w:rPr>
        <w:t>;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оформление направления к поставщикам услуг ранней помощи и его регистрация в ж</w:t>
      </w:r>
      <w:hyperlink w:anchor="Par163" w:tooltip="Журнал учета выдачи направлений в организацию,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урнал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>е учета выдачи направлений, который ведет специалист организации (учреждения), на базе которой создана междисциплинарная команда специалистов;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highlight w:val="white"/>
        </w:rPr>
      </w:pPr>
      <w:r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вручение родителям (законным представителям) уведомления о разработке ИМРП и направления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поставщикам услуг ранней помощи </w:t>
      </w:r>
      <w:r w:rsidR="0037762B"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>в течение</w:t>
      </w:r>
      <w:r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 3 рабочих дней со дня их утверждения непосредственно или почтовым отправлением;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white"/>
          <w:lang w:eastAsia="ru-RU"/>
        </w:rPr>
        <w:t xml:space="preserve">внесение ИМРП в государственную информационную систему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автономного округа </w:t>
      </w:r>
      <w:r>
        <w:rPr>
          <w:rFonts w:ascii="Times New Roman" w:hAnsi="Times New Roman" w:cs="Times New Roman"/>
          <w:sz w:val="28"/>
          <w:szCs w:val="28"/>
          <w:highlight w:val="white"/>
        </w:rPr>
        <w:t>«Приклад</w:t>
      </w:r>
      <w:r>
        <w:rPr>
          <w:rFonts w:ascii="Times New Roman" w:hAnsi="Times New Roman" w:cs="Times New Roman"/>
          <w:sz w:val="28"/>
          <w:szCs w:val="28"/>
        </w:rPr>
        <w:t>ное программное обеспечение «Автоматизированная система обработки информации»;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специалистов организаций (учреждений) здравоохранения, социального обслуживания, образования по вопросам, связанным с поддержкой развития и адаптации детей, нуждающихся в ранней помощи;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и итоговая оценки эффективности реализации ИМРП, по результатам которых родителям (законными представителями) вручаются заключение и рекомендации по дальнейшему сопровождению ребенка, нуждающегося в ранней помощи.</w:t>
      </w:r>
    </w:p>
    <w:p w:rsidR="00FB604D" w:rsidRDefault="002D391A" w:rsidP="00A74143">
      <w:pPr>
        <w:pStyle w:val="26"/>
        <w:shd w:val="clear" w:color="auto" w:fill="auto"/>
        <w:spacing w:before="0" w:after="0" w:line="240" w:lineRule="auto"/>
        <w:ind w:firstLine="709"/>
        <w:jc w:val="both"/>
      </w:pPr>
      <w:r>
        <w:t xml:space="preserve">2.6. ИМРП </w:t>
      </w:r>
      <w:r>
        <w:rPr>
          <w:rFonts w:eastAsia="SimSun"/>
        </w:rPr>
        <w:t>разрабатыва</w:t>
      </w:r>
      <w:r>
        <w:t xml:space="preserve">ется согласно типовой форме, которую утверждает распоряжением заместитель Губернатора автономного округа, </w:t>
      </w:r>
      <w:r w:rsidR="008E575F">
        <w:br/>
      </w:r>
      <w:r>
        <w:t>в ведении которого находится Департамент социального развития автономного округа.</w:t>
      </w:r>
    </w:p>
    <w:p w:rsidR="00FB604D" w:rsidRDefault="002D391A" w:rsidP="00A74143">
      <w:pPr>
        <w:pStyle w:val="26"/>
        <w:shd w:val="clear" w:color="auto" w:fill="auto"/>
        <w:spacing w:before="0" w:after="0" w:line="240" w:lineRule="auto"/>
        <w:ind w:firstLine="709"/>
        <w:jc w:val="both"/>
      </w:pPr>
      <w:r>
        <w:t xml:space="preserve">Срок действия ИМРП: не менее 6 и не более 12 месяцев. </w:t>
      </w:r>
    </w:p>
    <w:p w:rsidR="00FB604D" w:rsidRDefault="002D391A" w:rsidP="00A7414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Ранняя помощь может </w:t>
      </w:r>
      <w:r>
        <w:rPr>
          <w:sz w:val="28"/>
          <w:szCs w:val="28"/>
        </w:rPr>
        <w:t>оказыва</w:t>
      </w:r>
      <w:r>
        <w:rPr>
          <w:rFonts w:eastAsia="Times New Roman"/>
          <w:sz w:val="28"/>
          <w:szCs w:val="28"/>
        </w:rPr>
        <w:t xml:space="preserve">ться без </w:t>
      </w:r>
      <w:r>
        <w:rPr>
          <w:rFonts w:eastAsia="SimSun"/>
          <w:sz w:val="28"/>
          <w:szCs w:val="28"/>
        </w:rPr>
        <w:t>разработки</w:t>
      </w:r>
      <w:r>
        <w:rPr>
          <w:rFonts w:eastAsia="Times New Roman"/>
          <w:sz w:val="28"/>
          <w:szCs w:val="28"/>
        </w:rPr>
        <w:t xml:space="preserve"> ИМРП (пролонгированное консультирование, краткосрочные услуги ранней помощи). </w:t>
      </w:r>
    </w:p>
    <w:p w:rsidR="00FB604D" w:rsidRDefault="002D391A" w:rsidP="00A74143">
      <w:pPr>
        <w:pStyle w:val="26"/>
        <w:shd w:val="clear" w:color="auto" w:fill="auto"/>
        <w:spacing w:before="0" w:after="0" w:line="240" w:lineRule="auto"/>
        <w:ind w:firstLine="709"/>
        <w:jc w:val="both"/>
      </w:pPr>
      <w:r>
        <w:t xml:space="preserve">По истечении срока ИМРП при наличии показаний </w:t>
      </w:r>
      <w:r>
        <w:rPr>
          <w:rFonts w:eastAsia="SimSun"/>
        </w:rPr>
        <w:t>разрабатыва</w:t>
      </w:r>
      <w:r>
        <w:t>ется новая ИМРП.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Прекращается оказание ранн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ей помощи на основании: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отказа родителей (законных представителей) от ее получения; 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достижения целей ИМРП и отсутствия дальнейшей нуждаемости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в ней; 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достижения детьми, нуждающимися в ранней помощи, возраста 3 лет и отсутствия необходимости пролонгирования ИМРП;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поступления детей, нуждающихся в ранней помощи, в дошкольную образовательную организацию (учреждение) и подтверждения успешного освоения ими образовательной программы в течение одного учебного года; </w:t>
      </w:r>
    </w:p>
    <w:p w:rsidR="00FB604D" w:rsidRDefault="002D391A" w:rsidP="00A74143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иных причин, создающих непреодолимые препятствия для продолжения реализации ИМРП (смерть ребенка, нужда</w:t>
      </w:r>
      <w:r>
        <w:rPr>
          <w:rFonts w:ascii="Times New Roman" w:eastAsia="Times New Roman" w:hAnsi="Times New Roman" w:cs="Times New Roman"/>
          <w:sz w:val="28"/>
          <w:szCs w:val="28"/>
        </w:rPr>
        <w:t>ющегося в ранней помощи; переезд ребенка, нуждающегося в ранней помощи, и его семьи на постоянное место жительства за пределы автономного округа).</w:t>
      </w:r>
    </w:p>
    <w:p w:rsidR="00FB604D" w:rsidRDefault="00FB604D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</w:p>
    <w:p w:rsidR="00FB604D" w:rsidRDefault="002D391A" w:rsidP="00A74143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 II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. Требования к п</w:t>
      </w:r>
      <w:r>
        <w:rPr>
          <w:sz w:val="28"/>
          <w:szCs w:val="28"/>
        </w:rPr>
        <w:t xml:space="preserve">оставщикам услуг </w:t>
      </w:r>
      <w:r>
        <w:rPr>
          <w:rFonts w:eastAsia="Times New Roman"/>
          <w:sz w:val="28"/>
          <w:szCs w:val="28"/>
        </w:rPr>
        <w:t>ранней помощи</w:t>
      </w:r>
    </w:p>
    <w:p w:rsidR="00FB604D" w:rsidRDefault="00FB604D" w:rsidP="00A74143">
      <w:pPr>
        <w:pStyle w:val="ab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04D" w:rsidRDefault="002D391A" w:rsidP="00A74143">
      <w:pPr>
        <w:pStyle w:val="ab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Поставщики услуг </w:t>
      </w:r>
      <w:r>
        <w:rPr>
          <w:rFonts w:ascii="Times New Roman" w:eastAsia="Times New Roman" w:hAnsi="Times New Roman" w:cs="Times New Roman"/>
          <w:sz w:val="28"/>
          <w:szCs w:val="28"/>
        </w:rPr>
        <w:t>ранней помощи при организации межведомственного взаимодействия и оказании ранней помощи руководствуются международными правовыми актами в области защиты прав детей, в том числе детей-инвалидов, федеральными законами, правовыми актами Президента Российской Федерации и Правительства Российской Федерации, иными правовыми актами, законодательством субъектов Российской Федерации,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ешениями соответствующего органа управления здравоохранением, социальной защитой, образованием, уставом организации (учреждения) и иными локальными актами.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3.2. Для осуществления межведомственного взаимодействия при оказании ранней помощи, </w:t>
      </w:r>
      <w:r>
        <w:rPr>
          <w:rFonts w:eastAsia="Times New Roman"/>
          <w:sz w:val="28"/>
          <w:szCs w:val="28"/>
          <w:highlight w:val="white"/>
          <w:lang w:eastAsia="en-US"/>
        </w:rPr>
        <w:t>обмена информацией об оказываемых услугах и получателях данных услуг формируется перечень поставщиков услуг ранней помощи (далее – перечень) и размещается в государственной информационной системе автономного округа «Прикладное программное обеспечение «Автоматизированная система обработки информации», информационной системе «Портал социальных услуг».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highlight w:val="white"/>
          <w:lang w:eastAsia="en-US"/>
        </w:rPr>
        <w:t>Информацию в перечень вносят и актуализируют (при необходимости) ответственные специалисты организаций (учреждений), подведомственных Департаменту социального развития автономного округа, Департаменту здравоохранения автономно</w:t>
      </w:r>
      <w:r>
        <w:rPr>
          <w:rFonts w:eastAsia="Times New Roman"/>
          <w:sz w:val="28"/>
          <w:szCs w:val="28"/>
          <w:lang w:eastAsia="en-US"/>
        </w:rPr>
        <w:t xml:space="preserve">го округа, Департаменту образования и науки автономного округа. 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3.3. Поставщики услуг ранней помощи размещают на официальных</w:t>
      </w:r>
      <w:r>
        <w:rPr>
          <w:rFonts w:eastAsia="Times New Roman"/>
          <w:sz w:val="28"/>
          <w:szCs w:val="28"/>
        </w:rPr>
        <w:t xml:space="preserve"> сайтах своих организаций (учреждений) положение и график работы организации (учреждения), </w:t>
      </w:r>
      <w:r>
        <w:rPr>
          <w:sz w:val="28"/>
          <w:szCs w:val="28"/>
        </w:rPr>
        <w:t>перечень и порядок оказания ранней помощи.</w:t>
      </w:r>
    </w:p>
    <w:p w:rsidR="00FB604D" w:rsidRDefault="002D391A" w:rsidP="00A74143">
      <w:pPr>
        <w:pStyle w:val="Default"/>
        <w:shd w:val="clear" w:color="auto" w:fill="FFFFFF" w:themeFill="background1"/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eastAsia="Times New Roman"/>
          <w:sz w:val="28"/>
          <w:szCs w:val="28"/>
          <w:shd w:val="clear" w:color="auto" w:fill="FFFFFF" w:themeFill="background1"/>
        </w:rPr>
        <w:t xml:space="preserve">3.4. Специалисты, </w:t>
      </w:r>
      <w:r>
        <w:rPr>
          <w:rFonts w:eastAsia="Times New Roman"/>
          <w:sz w:val="28"/>
          <w:szCs w:val="28"/>
        </w:rPr>
        <w:t xml:space="preserve">оказывающие раннюю помощь, </w:t>
      </w:r>
      <w:r>
        <w:rPr>
          <w:rFonts w:eastAsia="Times New Roman"/>
          <w:sz w:val="28"/>
          <w:szCs w:val="28"/>
          <w:shd w:val="clear" w:color="auto" w:fill="FFFFFF" w:themeFill="background1"/>
        </w:rPr>
        <w:t xml:space="preserve">должны иметь профильное образование и обладать профессиональными компетенциями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 w:themeFill="background1"/>
        </w:rPr>
        <w:t>в этой сфере.</w:t>
      </w:r>
    </w:p>
    <w:p w:rsidR="00FB604D" w:rsidRDefault="00FB604D" w:rsidP="00A74143">
      <w:pPr>
        <w:pStyle w:val="Default"/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</w:p>
    <w:p w:rsidR="00FB604D" w:rsidRDefault="002D391A" w:rsidP="00A74143">
      <w:pPr>
        <w:pStyle w:val="Default"/>
        <w:shd w:val="clear" w:color="auto" w:fill="FFFFFF" w:themeFill="background1"/>
        <w:jc w:val="center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Раздел I</w:t>
      </w: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 xml:space="preserve">. Организация мониторинга и оценки качества </w:t>
      </w:r>
      <w:r>
        <w:rPr>
          <w:rFonts w:eastAsia="Times New Roman"/>
          <w:sz w:val="28"/>
          <w:szCs w:val="28"/>
        </w:rPr>
        <w:br/>
        <w:t xml:space="preserve">и эффективности </w:t>
      </w:r>
      <w:r>
        <w:rPr>
          <w:sz w:val="28"/>
          <w:szCs w:val="28"/>
        </w:rPr>
        <w:t xml:space="preserve">межведомственного </w:t>
      </w:r>
      <w:r>
        <w:rPr>
          <w:bCs/>
          <w:sz w:val="28"/>
          <w:szCs w:val="28"/>
        </w:rPr>
        <w:t xml:space="preserve">взаимодействия </w:t>
      </w:r>
    </w:p>
    <w:p w:rsidR="00FB604D" w:rsidRDefault="00FB604D" w:rsidP="00A74143">
      <w:pPr>
        <w:pStyle w:val="Default"/>
        <w:shd w:val="clear" w:color="auto" w:fill="FFFFFF" w:themeFill="background1"/>
        <w:jc w:val="center"/>
        <w:rPr>
          <w:bCs/>
          <w:sz w:val="28"/>
          <w:szCs w:val="28"/>
        </w:rPr>
      </w:pP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4.1. В целях определения эффективности межведомственного взаимодействия по оказанию ранней помощи в автономном округе проводятся контрольные мероприятия: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4.1.1. Мониторинг и оценку деятельности междисциплинарных команд специалистов, поставщиков услуг ранней помощи в муниципальных образованиях автономного округа проводят представители Департамента социального развития автономного округа, Департамента здравоохранения автономного округа, Департамента образования и науки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округа (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установленным графиком, но не реже 1 раза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>в 3 года).</w:t>
      </w:r>
    </w:p>
    <w:p w:rsidR="00FB604D" w:rsidRDefault="002D391A" w:rsidP="00A74143">
      <w:pPr>
        <w:pStyle w:val="26"/>
        <w:shd w:val="clear" w:color="auto" w:fill="FFFFFF" w:themeFill="background1"/>
        <w:tabs>
          <w:tab w:val="left" w:pos="3591"/>
        </w:tabs>
        <w:spacing w:before="0" w:after="0" w:line="240" w:lineRule="auto"/>
        <w:ind w:firstLine="709"/>
        <w:jc w:val="both"/>
      </w:pPr>
      <w:r>
        <w:t xml:space="preserve">4.1.2. Мониторинг качества и эффективности оказания ранней помощи детям, нуждающимся в ранней помощи, и их семьям проводят </w:t>
      </w:r>
      <w:r>
        <w:rPr>
          <w:bCs/>
        </w:rPr>
        <w:t xml:space="preserve">Департамент социального развития </w:t>
      </w:r>
      <w:r>
        <w:t>автономного округа</w:t>
      </w:r>
      <w:r>
        <w:rPr>
          <w:bCs/>
        </w:rPr>
        <w:t xml:space="preserve">, Департамент здравоохранения </w:t>
      </w:r>
      <w:r>
        <w:t>автономного округа</w:t>
      </w:r>
      <w:r>
        <w:rPr>
          <w:bCs/>
        </w:rPr>
        <w:t xml:space="preserve">, Департамент образования и науки </w:t>
      </w:r>
      <w:r>
        <w:t xml:space="preserve">автономного округа, в ведении которых находятся соответствующие организации </w:t>
      </w:r>
      <w:r>
        <w:rPr>
          <w:shd w:val="clear" w:color="auto" w:fill="FFFFFF" w:themeFill="background1"/>
        </w:rPr>
        <w:t xml:space="preserve">(учреждения) </w:t>
      </w:r>
      <w:r>
        <w:t>здравоохранения, социального обслуживания, образования (постоянно).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en-US"/>
        </w:rPr>
        <w:t>4.2. В целях оценки качества и эффективности оказания ранней помощи детям, нуждающимся в ранней помощи, и их семьям изучается общественное мнение, в том числе мнение профессионального сообщества, социально ориентированных некоммерческих организаций, а также средств массовой информации автономного округа путем ежегодного проведения их опроса по форме, которую утверждает распоряжением заместитель Губернатора автономного округа, в ведении которого находится Департамент социального развития автономного округа.</w:t>
      </w:r>
    </w:p>
    <w:p w:rsidR="00FB604D" w:rsidRDefault="002D391A" w:rsidP="00A74143">
      <w:pPr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4.3. Мониторинг,</w:t>
      </w:r>
      <w:r>
        <w:rPr>
          <w:rFonts w:eastAsia="Times New Roman"/>
          <w:sz w:val="28"/>
          <w:szCs w:val="28"/>
          <w:highlight w:val="white"/>
        </w:rPr>
        <w:t xml:space="preserve"> оценку качества и эффективности </w:t>
      </w:r>
      <w:r>
        <w:rPr>
          <w:sz w:val="28"/>
          <w:szCs w:val="28"/>
          <w:highlight w:val="white"/>
        </w:rPr>
        <w:t xml:space="preserve">оказания в автономном округе ранней помощи детям, нуждающимся в </w:t>
      </w:r>
      <w:r>
        <w:rPr>
          <w:rFonts w:eastAsia="Times New Roman"/>
          <w:sz w:val="28"/>
          <w:szCs w:val="28"/>
          <w:highlight w:val="white"/>
        </w:rPr>
        <w:t>ней</w:t>
      </w:r>
      <w:r>
        <w:rPr>
          <w:sz w:val="28"/>
          <w:szCs w:val="28"/>
          <w:highlight w:val="white"/>
        </w:rPr>
        <w:t xml:space="preserve">, и их семьям проводит региональный экспертный совет по ранней помощи в автономном округе в соответствии с </w:t>
      </w:r>
      <w:r>
        <w:rPr>
          <w:rFonts w:eastAsia="Times New Roman"/>
          <w:sz w:val="28"/>
          <w:szCs w:val="28"/>
          <w:highlight w:val="white"/>
        </w:rPr>
        <w:t xml:space="preserve">разделом </w:t>
      </w:r>
      <w:r>
        <w:rPr>
          <w:rFonts w:eastAsia="Times New Roman"/>
          <w:sz w:val="28"/>
          <w:szCs w:val="28"/>
          <w:highlight w:val="white"/>
          <w:lang w:val="en-US"/>
        </w:rPr>
        <w:t>V</w:t>
      </w:r>
      <w:r>
        <w:rPr>
          <w:rFonts w:eastAsia="Times New Roman"/>
          <w:sz w:val="28"/>
          <w:szCs w:val="28"/>
          <w:highlight w:val="white"/>
        </w:rPr>
        <w:t xml:space="preserve"> Стандарта. 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highlight w:val="white"/>
          <w:lang w:eastAsia="en-US"/>
        </w:rPr>
        <w:t xml:space="preserve">4.4. В целях наполнения информационных ресурсов, в том числе раздела «Региональный информационный </w:t>
      </w:r>
      <w:r>
        <w:rPr>
          <w:rFonts w:eastAsia="Times New Roman"/>
          <w:sz w:val="28"/>
          <w:szCs w:val="28"/>
          <w:lang w:eastAsia="en-US"/>
        </w:rPr>
        <w:t xml:space="preserve">банк по ранней помощи» на официальном сайте исполнительных органов автономного округа, участники межведомственного взаимодействия по запросу Департамента </w:t>
      </w:r>
      <w:r>
        <w:rPr>
          <w:rFonts w:eastAsia="Times New Roman"/>
          <w:sz w:val="28"/>
          <w:szCs w:val="28"/>
          <w:lang w:eastAsia="en-US"/>
        </w:rPr>
        <w:lastRenderedPageBreak/>
        <w:t>социального развития автономного округа предоставляют необходимую информацию в течение 5 рабочих дней со дня его получения.</w:t>
      </w:r>
    </w:p>
    <w:p w:rsidR="00FB604D" w:rsidRDefault="00FB604D" w:rsidP="00A74143">
      <w:pPr>
        <w:pStyle w:val="ConsPlusTitle"/>
        <w:shd w:val="clear" w:color="auto" w:fill="FFFFFF" w:themeFill="background1"/>
        <w:ind w:firstLine="709"/>
        <w:jc w:val="both"/>
        <w:outlineLvl w:val="2"/>
        <w:rPr>
          <w:b w:val="0"/>
          <w:bCs w:val="0"/>
          <w:lang w:eastAsia="en-US"/>
        </w:rPr>
      </w:pPr>
    </w:p>
    <w:p w:rsidR="004E3D88" w:rsidRDefault="002D391A" w:rsidP="00A7414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Раздел V. </w:t>
      </w:r>
      <w:r>
        <w:rPr>
          <w:rFonts w:eastAsia="Times New Roman"/>
          <w:sz w:val="28"/>
          <w:szCs w:val="28"/>
        </w:rPr>
        <w:t xml:space="preserve">Методика оценки качества межведомственного взаимодействия </w:t>
      </w:r>
    </w:p>
    <w:p w:rsidR="00FB604D" w:rsidRDefault="002D391A" w:rsidP="00A74143">
      <w:pPr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эффективности оказания ранней помощи</w:t>
      </w:r>
      <w:r>
        <w:rPr>
          <w:rFonts w:eastAsia="Times New Roman"/>
          <w:spacing w:val="-2"/>
          <w:sz w:val="28"/>
          <w:szCs w:val="28"/>
        </w:rPr>
        <w:t xml:space="preserve"> в автономном округе</w:t>
      </w:r>
    </w:p>
    <w:p w:rsidR="00FB604D" w:rsidRDefault="00FB604D" w:rsidP="00A74143">
      <w:pPr>
        <w:jc w:val="center"/>
        <w:rPr>
          <w:rFonts w:eastAsia="Times New Roman"/>
          <w:b/>
          <w:spacing w:val="-2"/>
          <w:sz w:val="28"/>
          <w:szCs w:val="28"/>
        </w:rPr>
      </w:pP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Оценка качества межведомственного взаимодействия и эффективности оказания ранней помощи детям, нуждающимся в ней, и их семье (далее – Оценка) проводится в автономном округе и рекомендуется к проведению в муниципальных образованиях автономного округа (ежегодно).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Результаты Оценки служат основанием для принятия решений по совершенствованию системы ранней помощи в автономном округе.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5.1.2. Порядок проведения Оценки и контроля ее проведения утверждает распоряжением заместитель Губернатора автономного округа, в ведении которог</w:t>
      </w:r>
      <w:r>
        <w:rPr>
          <w:rFonts w:ascii="Times New Roman" w:hAnsi="Times New Roman" w:cs="Times New Roman"/>
          <w:sz w:val="28"/>
          <w:szCs w:val="28"/>
          <w:highlight w:val="white"/>
        </w:rPr>
        <w:t>о находится Департамент социального развития автономного округа.</w:t>
      </w:r>
    </w:p>
    <w:p w:rsidR="00FB604D" w:rsidRDefault="002D391A" w:rsidP="00A74143">
      <w:pPr>
        <w:pStyle w:val="ConsPlusTitle"/>
        <w:shd w:val="clear" w:color="auto" w:fill="FFFFFF" w:themeFill="background1"/>
        <w:ind w:firstLine="709"/>
        <w:jc w:val="both"/>
        <w:outlineLvl w:val="2"/>
        <w:rPr>
          <w:b w:val="0"/>
          <w:highlight w:val="white"/>
        </w:rPr>
      </w:pPr>
      <w:r>
        <w:rPr>
          <w:b w:val="0"/>
          <w:highlight w:val="white"/>
        </w:rPr>
        <w:t>5.2. Показатели качества межведомственного взаимодействия и эффективности оказания ранней помощи и критерии их оценки: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5.2.1. Оценка качества межведомственного взаимодействия проводится на уровне автономного округа по </w:t>
      </w:r>
      <w:hyperlink w:anchor="Par202" w:tooltip="Показатель 1. Наличие системы координации действий по развитию ранней помощи в Тюменской области.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показателям 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10, рекомендована к проведению на уровне муниципальных образований автономного округа по </w:t>
      </w:r>
      <w:hyperlink w:anchor="Par214" w:tooltip="Показатель 5. Доля муниципальных образований Тюменской области, на которых действуют организации, предоставляющие услуги ранней помощи детям и их родителям (законным представителям), от общего количества административно-территориальных и муниципальных образова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показателю 5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на уровне поставщиков услуг ранней помощи (организаций, учреждений) по </w:t>
      </w:r>
      <w:hyperlink w:anchor="Par220" w:tooltip="Показатель 7. Доля детей, для которых индивидуальная программа ранней помощи (далее - ИПРП) была составлена в установленный срок - 30 рабочих дней от общего количества детей, для которых была составлена ИПРП за прошедший календарный год.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показателю 8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5.2.2. Оценка эффективности оказания ранней помощи проводится на уровне поставщиков услуг ранней помощи (организаций, учреждений) (</w:t>
      </w:r>
      <w:hyperlink w:anchor="Par225" w:tooltip="Показатель 9. Доля детей, у которых наблюдается снижение выраженности ограничений и (или) увеличение вовлеченности в естественные жизненные ситуации в процессе реализации ИПРП, в общем количестве детей, получающих услуги ранней помощи в рамках ИПРП.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показатели 11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13). 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Показатели качества межведомственного взаимодействия и критерии их оценки: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2"/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Показатель 1. </w:t>
      </w:r>
      <w:r>
        <w:rPr>
          <w:rFonts w:ascii="Times New Roman" w:hAnsi="Times New Roman" w:cs="Times New Roman"/>
          <w:sz w:val="28"/>
          <w:szCs w:val="28"/>
        </w:rPr>
        <w:t>Наличие системы координации действий по развитию ранней помощи в автономном округе, включающей наличие открытых (размещенных на официальных web-ресурсах исполнительных органов автономного округа, специализированном интернет-ресурсе по поддержке развития ранней помощи) и доступных для открытого просмотра и скачивания действующих документов по созданию, составу и регламенту работы межведомственного координационного органа по развитию системы ранней помощи, созданного при высшем органе исполнительной власти автономного округа; межведомственного ресурсно-методическом центра.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наличие – 1 балл; отсутствие части </w:t>
      </w:r>
      <w:r>
        <w:rPr>
          <w:rFonts w:ascii="Times New Roman" w:hAnsi="Times New Roman" w:cs="Times New Roman"/>
          <w:sz w:val="28"/>
          <w:szCs w:val="28"/>
        </w:rPr>
        <w:br/>
        <w:t>показателя – 0,5 балла; отсутствие – 0 баллов.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2. Наличие программы и ежегодного плана мероприятий по развитию ранней помощи в автономном округе.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наличие – 1 балл; отсутствие – 0 баллов.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3. Наличие утвержденного перечня услуг ранней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в автономном округе.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наличие – 1 балл; отсутствие – 0 баллов.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4. Обеспеченность специалистами, обладающими компетенциями оказания ранней помощи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(проведение первичного приема детей от рождения до 3 лет для выявления соответствия состояния ребенка критериям разработки ИМРП, разработка, реализация ИМРП включая консультирование семьи по её реализации в естественных жизненных ситуациях, оценка эффективности реализации ИМРП) из расчета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1 000 человек детского населения в автономном округе в возрасте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от рождения до 3 лет.</w:t>
      </w:r>
    </w:p>
    <w:p w:rsidR="00FB604D" w:rsidRDefault="002D391A" w:rsidP="00A74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Критерии оценки: более 2 ставок </w:t>
      </w:r>
      <w:r>
        <w:rPr>
          <w:rFonts w:eastAsia="Times New Roman"/>
          <w:sz w:val="28"/>
          <w:szCs w:val="28"/>
        </w:rPr>
        <w:t xml:space="preserve">специалистов – 1 балл; </w:t>
      </w:r>
      <w:bookmarkStart w:id="2" w:name="Par214"/>
      <w:bookmarkEnd w:id="2"/>
      <w:r w:rsidR="008E575F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от 1 до 2 ставок специалистов – 0,5 балла; менее 1 ставки специалистов – </w:t>
      </w:r>
      <w:r w:rsidR="008E575F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0 баллов.</w:t>
      </w:r>
    </w:p>
    <w:p w:rsidR="00FB604D" w:rsidRDefault="002D391A" w:rsidP="00A74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Показатель 5. Доля муниципальных образований автономного округа, в которых действуют организации (учреждения), оказывающие раннюю помощь, от общего количества муниципальных образований автономного округа.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более 90 % – 1 балл; от 50 % до 90 % – 0,5 балла; </w:t>
      </w:r>
      <w:r>
        <w:rPr>
          <w:rFonts w:ascii="Times New Roman" w:hAnsi="Times New Roman" w:cs="Times New Roman"/>
          <w:sz w:val="28"/>
          <w:szCs w:val="28"/>
        </w:rPr>
        <w:br/>
        <w:t>от 25 % до 50 % – 0,25 балла; менее – 0 баллов.</w:t>
      </w:r>
    </w:p>
    <w:p w:rsidR="00FB604D" w:rsidRDefault="002D391A" w:rsidP="00A74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6. Наличие установленного порядка выявления и учета детей, нуждающихся в ранней помощи, направления их в организацию (учреждение), </w:t>
      </w:r>
      <w:r>
        <w:rPr>
          <w:rFonts w:ascii="Times New Roman" w:hAnsi="Times New Roman" w:cs="Times New Roman"/>
          <w:sz w:val="28"/>
          <w:szCs w:val="28"/>
          <w:highlight w:val="white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ющую раннюю помощь, информирования родителей (законных представителей) о системе ранней помощи в автономном округе.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наличие – 1 балл; отсутствие – 0 баллов.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Показатель 7. Доля поставщиков услуг ранней помощи, которые </w:t>
      </w:r>
      <w:r w:rsidR="004E3D88">
        <w:rPr>
          <w:rFonts w:eastAsia="Times New Roman"/>
          <w:sz w:val="28"/>
          <w:szCs w:val="28"/>
          <w:highlight w:val="white"/>
        </w:rPr>
        <w:br/>
      </w:r>
      <w:r>
        <w:rPr>
          <w:rFonts w:eastAsia="Times New Roman"/>
          <w:sz w:val="28"/>
          <w:szCs w:val="28"/>
          <w:highlight w:val="white"/>
        </w:rPr>
        <w:t>в течение 10 рабочих дней от даты заключения договора об оказании ранней помощи обеспечивают первичный прием детей, нуждающихся в ранней помощи, и их семей, от общего количества поставщиков услуг ранней помощи в автономном округе.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более 90 % – 1 балл; от 50 % до 90 % – 0,5 балла; </w:t>
      </w:r>
      <w:r>
        <w:rPr>
          <w:rFonts w:ascii="Times New Roman" w:hAnsi="Times New Roman" w:cs="Times New Roman"/>
          <w:sz w:val="28"/>
          <w:szCs w:val="28"/>
        </w:rPr>
        <w:br/>
        <w:t>от 25 % до 50 % – 0,25 балла; менее – 0 баллов.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8. Доля детей, для которых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ИМРП составлена в течение установленного срока (20 рабочих дней с даты заключения договора об оказании ранней помощи с родителями (законными представителями)) за прошедший календарный год.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более 95 % – 1 балл; от 50 % до 90 % – 0,5 балла; </w:t>
      </w:r>
      <w:r>
        <w:rPr>
          <w:rFonts w:ascii="Times New Roman" w:hAnsi="Times New Roman" w:cs="Times New Roman"/>
          <w:sz w:val="28"/>
          <w:szCs w:val="28"/>
        </w:rPr>
        <w:br/>
        <w:t>от 25 % до 50 % – 0,25 балла; менее 25 % – 0 баллов.</w:t>
      </w:r>
    </w:p>
    <w:p w:rsidR="00FB604D" w:rsidRDefault="002D391A" w:rsidP="00A74143">
      <w:pPr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Показатель 9. Доля детей в автономном округе с впервые установленной инвалидностью в возрасте от рождения до 3 лет, родители (законные представители) которых получили направление к поставщику услуг ранней помощи, от общего количества детей с впервые установленной инвалидностью в возрасте от рождения до 3 лет в автономном округе </w:t>
      </w:r>
      <w:r>
        <w:rPr>
          <w:rFonts w:eastAsia="Times New Roman"/>
          <w:sz w:val="28"/>
          <w:szCs w:val="28"/>
          <w:highlight w:val="white"/>
        </w:rPr>
        <w:br/>
        <w:t>за прошедший календарный год.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более 90 % – 1 балл; от 50 % до 90 % – 0,5 балла;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от 25 % до 50 % – 0,25 балла; менее 25 % – 0 баллов.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2"/>
      <w:bookmarkEnd w:id="3"/>
      <w:r>
        <w:rPr>
          <w:rFonts w:ascii="Times New Roman" w:hAnsi="Times New Roman" w:cs="Times New Roman"/>
          <w:sz w:val="28"/>
          <w:szCs w:val="28"/>
        </w:rPr>
        <w:t xml:space="preserve">Показатель 10. Доля детей с установленной инвалидностью, которые в прошедшем календарном году получали в автономном округе раннюю помощь по ИМРП, от общего количества детей в автономном округе </w:t>
      </w:r>
      <w:r>
        <w:rPr>
          <w:rFonts w:ascii="Times New Roman" w:hAnsi="Times New Roman" w:cs="Times New Roman"/>
          <w:sz w:val="28"/>
          <w:szCs w:val="28"/>
        </w:rPr>
        <w:br/>
        <w:t>с установленной инвалидностью, нуждающихся в ранней помощи.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100 % – 1 балл; менее 100 % – 0 баллов.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Показатели эффективности оказания ранней помощи и критерии их оценки: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5"/>
      <w:bookmarkEnd w:id="4"/>
      <w:r>
        <w:rPr>
          <w:rFonts w:ascii="Times New Roman" w:hAnsi="Times New Roman" w:cs="Times New Roman"/>
          <w:sz w:val="28"/>
          <w:szCs w:val="28"/>
        </w:rPr>
        <w:t xml:space="preserve">Показатель 11. Доля детей, у которых наблюдается снижение выраженности ограничений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и (или) увеличение вовлеченности в естественные жизненные ситуации в процессе реализации ИМРП, в общем количестве детей, получающих раннюю помощь по ИМРП.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более 80 % – 1 балл; от 40 % до 80 % – 0,5 балла; менее 40 % – 0 баллов.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12. Доля семей, получающих раннюю помощь, отметивших позитивное влияние реализации ИМРП на какие-либо аспекты функционирования семьи (например: понимание членами семьи особенностей ребенка, нуждающегося в ранней помощи; их способности содействовать развитию данного ребенка; качество их отношений и взаимодействия с данным ребенком, и в семье в целом; адаптацию семьи; расширение позитивного социального взаимодействия семьи с социумом), в общем количестве семей, участвующих в реализации ИМРП.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29"/>
      <w:bookmarkEnd w:id="5"/>
      <w:r>
        <w:rPr>
          <w:rFonts w:ascii="Times New Roman" w:hAnsi="Times New Roman" w:cs="Times New Roman"/>
          <w:sz w:val="28"/>
          <w:szCs w:val="28"/>
        </w:rPr>
        <w:t>Критерии оценки: более 70 % – 1 балл; менее 70 % – 0 баллов.</w:t>
      </w:r>
    </w:p>
    <w:p w:rsidR="00FB604D" w:rsidRDefault="002D391A" w:rsidP="00A74143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</w:rPr>
        <w:t xml:space="preserve">Показатель 13. </w:t>
      </w:r>
      <w:r>
        <w:rPr>
          <w:rFonts w:eastAsia="Times New Roman"/>
          <w:sz w:val="28"/>
          <w:szCs w:val="28"/>
          <w:highlight w:val="white"/>
        </w:rPr>
        <w:t>Доля детей, нуждающихся в ранней помощи, поступивших в образовательные организации (учреждения) по завершении ИМРП, из общей численности детей в автономном округе, нуждающихся в ранней помощи, завершивших ИМРП в текущем году.</w:t>
      </w:r>
    </w:p>
    <w:p w:rsidR="00FB604D" w:rsidRDefault="002D391A" w:rsidP="00A7414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более 95 % – 1 балл; менее 95 % – 0 баллов.</w:t>
      </w:r>
    </w:p>
    <w:sectPr w:rsidR="00FB604D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AA" w:rsidRDefault="00C83BAA">
      <w:r>
        <w:separator/>
      </w:r>
    </w:p>
  </w:endnote>
  <w:endnote w:type="continuationSeparator" w:id="0">
    <w:p w:rsidR="00C83BAA" w:rsidRDefault="00C8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AA" w:rsidRDefault="00C83BAA">
      <w:r>
        <w:separator/>
      </w:r>
    </w:p>
  </w:footnote>
  <w:footnote w:type="continuationSeparator" w:id="0">
    <w:p w:rsidR="00C83BAA" w:rsidRDefault="00C8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802250"/>
      <w:docPartObj>
        <w:docPartGallery w:val="Page Numbers (Top of Page)"/>
        <w:docPartUnique/>
      </w:docPartObj>
    </w:sdtPr>
    <w:sdtEndPr/>
    <w:sdtContent>
      <w:p w:rsidR="00FB604D" w:rsidRDefault="002D39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80">
          <w:rPr>
            <w:noProof/>
          </w:rPr>
          <w:t>16</w:t>
        </w:r>
        <w:r>
          <w:fldChar w:fldCharType="end"/>
        </w:r>
      </w:p>
    </w:sdtContent>
  </w:sdt>
  <w:p w:rsidR="00FB604D" w:rsidRDefault="00FB604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A96"/>
    <w:multiLevelType w:val="multilevel"/>
    <w:tmpl w:val="FF04FB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B5731EC"/>
    <w:multiLevelType w:val="multilevel"/>
    <w:tmpl w:val="A9302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D2A2F1F"/>
    <w:multiLevelType w:val="multilevel"/>
    <w:tmpl w:val="2D269AA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EC669F6"/>
    <w:multiLevelType w:val="multilevel"/>
    <w:tmpl w:val="77CC44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11F00CB"/>
    <w:multiLevelType w:val="multilevel"/>
    <w:tmpl w:val="BC965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AE24E3"/>
    <w:multiLevelType w:val="multilevel"/>
    <w:tmpl w:val="F0FEF50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6" w15:restartNumberingAfterBreak="0">
    <w:nsid w:val="1A6F4820"/>
    <w:multiLevelType w:val="hybridMultilevel"/>
    <w:tmpl w:val="4C42D4DC"/>
    <w:lvl w:ilvl="0" w:tplc="9EEA0C5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 w:tplc="DBD06E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 w:tplc="797A9B2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 w:tplc="849E3B7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 w:tplc="DE2CE7E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 w:tplc="B73E793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 w:tplc="242C291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 w:tplc="E35268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 w:tplc="8296498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1EB96332"/>
    <w:multiLevelType w:val="multilevel"/>
    <w:tmpl w:val="A35C94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34706FB"/>
    <w:multiLevelType w:val="multilevel"/>
    <w:tmpl w:val="506A468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281E4CB5"/>
    <w:multiLevelType w:val="multilevel"/>
    <w:tmpl w:val="84FEA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BC4301F"/>
    <w:multiLevelType w:val="hybridMultilevel"/>
    <w:tmpl w:val="C6A4282C"/>
    <w:lvl w:ilvl="0" w:tplc="6BFAF67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8DF0BEC0">
      <w:start w:val="1"/>
      <w:numFmt w:val="lowerLetter"/>
      <w:lvlText w:val="%2."/>
      <w:lvlJc w:val="left"/>
      <w:pPr>
        <w:ind w:left="1108" w:hanging="360"/>
      </w:pPr>
    </w:lvl>
    <w:lvl w:ilvl="2" w:tplc="85F486AE">
      <w:start w:val="1"/>
      <w:numFmt w:val="lowerRoman"/>
      <w:lvlText w:val="%3."/>
      <w:lvlJc w:val="right"/>
      <w:pPr>
        <w:ind w:left="1828" w:hanging="180"/>
      </w:pPr>
    </w:lvl>
    <w:lvl w:ilvl="3" w:tplc="4E9294C2">
      <w:start w:val="1"/>
      <w:numFmt w:val="decimal"/>
      <w:lvlText w:val="%4."/>
      <w:lvlJc w:val="left"/>
      <w:pPr>
        <w:ind w:left="2548" w:hanging="360"/>
      </w:pPr>
    </w:lvl>
    <w:lvl w:ilvl="4" w:tplc="42A88D02">
      <w:start w:val="1"/>
      <w:numFmt w:val="lowerLetter"/>
      <w:lvlText w:val="%5."/>
      <w:lvlJc w:val="left"/>
      <w:pPr>
        <w:ind w:left="3268" w:hanging="360"/>
      </w:pPr>
    </w:lvl>
    <w:lvl w:ilvl="5" w:tplc="E7A65F98">
      <w:start w:val="1"/>
      <w:numFmt w:val="lowerRoman"/>
      <w:lvlText w:val="%6."/>
      <w:lvlJc w:val="right"/>
      <w:pPr>
        <w:ind w:left="3988" w:hanging="180"/>
      </w:pPr>
    </w:lvl>
    <w:lvl w:ilvl="6" w:tplc="A78AF932">
      <w:start w:val="1"/>
      <w:numFmt w:val="decimal"/>
      <w:lvlText w:val="%7."/>
      <w:lvlJc w:val="left"/>
      <w:pPr>
        <w:ind w:left="4708" w:hanging="360"/>
      </w:pPr>
    </w:lvl>
    <w:lvl w:ilvl="7" w:tplc="9B020BB8">
      <w:start w:val="1"/>
      <w:numFmt w:val="lowerLetter"/>
      <w:lvlText w:val="%8."/>
      <w:lvlJc w:val="left"/>
      <w:pPr>
        <w:ind w:left="5428" w:hanging="360"/>
      </w:pPr>
    </w:lvl>
    <w:lvl w:ilvl="8" w:tplc="181E7B1E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388A41DD"/>
    <w:multiLevelType w:val="multilevel"/>
    <w:tmpl w:val="FF90F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865A36"/>
    <w:multiLevelType w:val="hybridMultilevel"/>
    <w:tmpl w:val="3D2C192E"/>
    <w:lvl w:ilvl="0" w:tplc="4D9A78AE">
      <w:start w:val="1"/>
      <w:numFmt w:val="decimal"/>
      <w:lvlText w:val="%1."/>
      <w:lvlJc w:val="left"/>
      <w:pPr>
        <w:ind w:left="720" w:hanging="360"/>
      </w:pPr>
    </w:lvl>
    <w:lvl w:ilvl="1" w:tplc="1F8A7458">
      <w:start w:val="1"/>
      <w:numFmt w:val="lowerLetter"/>
      <w:lvlText w:val="%2."/>
      <w:lvlJc w:val="left"/>
      <w:pPr>
        <w:ind w:left="1440" w:hanging="360"/>
      </w:pPr>
    </w:lvl>
    <w:lvl w:ilvl="2" w:tplc="BFCEDDFC">
      <w:start w:val="1"/>
      <w:numFmt w:val="lowerRoman"/>
      <w:lvlText w:val="%3."/>
      <w:lvlJc w:val="right"/>
      <w:pPr>
        <w:ind w:left="2160" w:hanging="180"/>
      </w:pPr>
    </w:lvl>
    <w:lvl w:ilvl="3" w:tplc="92ECF2B2">
      <w:start w:val="1"/>
      <w:numFmt w:val="decimal"/>
      <w:lvlText w:val="%4."/>
      <w:lvlJc w:val="left"/>
      <w:pPr>
        <w:ind w:left="2880" w:hanging="360"/>
      </w:pPr>
    </w:lvl>
    <w:lvl w:ilvl="4" w:tplc="17B830A6">
      <w:start w:val="1"/>
      <w:numFmt w:val="lowerLetter"/>
      <w:lvlText w:val="%5."/>
      <w:lvlJc w:val="left"/>
      <w:pPr>
        <w:ind w:left="3600" w:hanging="360"/>
      </w:pPr>
    </w:lvl>
    <w:lvl w:ilvl="5" w:tplc="C03674D4">
      <w:start w:val="1"/>
      <w:numFmt w:val="lowerRoman"/>
      <w:lvlText w:val="%6."/>
      <w:lvlJc w:val="right"/>
      <w:pPr>
        <w:ind w:left="4320" w:hanging="180"/>
      </w:pPr>
    </w:lvl>
    <w:lvl w:ilvl="6" w:tplc="5AE0B954">
      <w:start w:val="1"/>
      <w:numFmt w:val="decimal"/>
      <w:lvlText w:val="%7."/>
      <w:lvlJc w:val="left"/>
      <w:pPr>
        <w:ind w:left="5040" w:hanging="360"/>
      </w:pPr>
    </w:lvl>
    <w:lvl w:ilvl="7" w:tplc="47AE38E8">
      <w:start w:val="1"/>
      <w:numFmt w:val="lowerLetter"/>
      <w:lvlText w:val="%8."/>
      <w:lvlJc w:val="left"/>
      <w:pPr>
        <w:ind w:left="5760" w:hanging="360"/>
      </w:pPr>
    </w:lvl>
    <w:lvl w:ilvl="8" w:tplc="873687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B4C"/>
    <w:multiLevelType w:val="hybridMultilevel"/>
    <w:tmpl w:val="EECCCC3E"/>
    <w:lvl w:ilvl="0" w:tplc="EBDA9F1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 w:tplc="AABA33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 w:tplc="BBF67BF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 w:tplc="1FB6CCE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 w:tplc="FA7ABD7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 w:tplc="F3D85F9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 w:tplc="AD5076D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 w:tplc="95AC7CC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 w:tplc="99CCB1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1911416"/>
    <w:multiLevelType w:val="hybridMultilevel"/>
    <w:tmpl w:val="ACAA853E"/>
    <w:lvl w:ilvl="0" w:tplc="314A4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88E10">
      <w:start w:val="1"/>
      <w:numFmt w:val="lowerLetter"/>
      <w:lvlText w:val="%2."/>
      <w:lvlJc w:val="left"/>
      <w:pPr>
        <w:ind w:left="1800" w:hanging="360"/>
      </w:pPr>
    </w:lvl>
    <w:lvl w:ilvl="2" w:tplc="7CAEBEE8">
      <w:start w:val="1"/>
      <w:numFmt w:val="lowerRoman"/>
      <w:lvlText w:val="%3."/>
      <w:lvlJc w:val="right"/>
      <w:pPr>
        <w:ind w:left="2520" w:hanging="180"/>
      </w:pPr>
    </w:lvl>
    <w:lvl w:ilvl="3" w:tplc="409C2C56">
      <w:start w:val="1"/>
      <w:numFmt w:val="decimal"/>
      <w:lvlText w:val="%4."/>
      <w:lvlJc w:val="left"/>
      <w:pPr>
        <w:ind w:left="3240" w:hanging="360"/>
      </w:pPr>
    </w:lvl>
    <w:lvl w:ilvl="4" w:tplc="3474CDBA">
      <w:start w:val="1"/>
      <w:numFmt w:val="lowerLetter"/>
      <w:lvlText w:val="%5."/>
      <w:lvlJc w:val="left"/>
      <w:pPr>
        <w:ind w:left="3960" w:hanging="360"/>
      </w:pPr>
    </w:lvl>
    <w:lvl w:ilvl="5" w:tplc="1444CF5A">
      <w:start w:val="1"/>
      <w:numFmt w:val="lowerRoman"/>
      <w:lvlText w:val="%6."/>
      <w:lvlJc w:val="right"/>
      <w:pPr>
        <w:ind w:left="4680" w:hanging="180"/>
      </w:pPr>
    </w:lvl>
    <w:lvl w:ilvl="6" w:tplc="2A846EEA">
      <w:start w:val="1"/>
      <w:numFmt w:val="decimal"/>
      <w:lvlText w:val="%7."/>
      <w:lvlJc w:val="left"/>
      <w:pPr>
        <w:ind w:left="5400" w:hanging="360"/>
      </w:pPr>
    </w:lvl>
    <w:lvl w:ilvl="7" w:tplc="8FE0F28E">
      <w:start w:val="1"/>
      <w:numFmt w:val="lowerLetter"/>
      <w:lvlText w:val="%8."/>
      <w:lvlJc w:val="left"/>
      <w:pPr>
        <w:ind w:left="6120" w:hanging="360"/>
      </w:pPr>
    </w:lvl>
    <w:lvl w:ilvl="8" w:tplc="CA06EDF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841CF"/>
    <w:multiLevelType w:val="multilevel"/>
    <w:tmpl w:val="B92A2DF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38F7D47"/>
    <w:multiLevelType w:val="hybridMultilevel"/>
    <w:tmpl w:val="B6B0241C"/>
    <w:lvl w:ilvl="0" w:tplc="B19897D6">
      <w:start w:val="1"/>
      <w:numFmt w:val="decimal"/>
      <w:lvlText w:val="%1)"/>
      <w:lvlJc w:val="left"/>
      <w:pPr>
        <w:ind w:left="525" w:hanging="465"/>
      </w:pPr>
      <w:rPr>
        <w:rFonts w:hint="default"/>
      </w:rPr>
    </w:lvl>
    <w:lvl w:ilvl="1" w:tplc="9BBE6334">
      <w:start w:val="1"/>
      <w:numFmt w:val="lowerLetter"/>
      <w:lvlText w:val="%2."/>
      <w:lvlJc w:val="left"/>
      <w:pPr>
        <w:ind w:left="1140" w:hanging="360"/>
      </w:pPr>
    </w:lvl>
    <w:lvl w:ilvl="2" w:tplc="3FD65684">
      <w:start w:val="1"/>
      <w:numFmt w:val="lowerRoman"/>
      <w:lvlText w:val="%3."/>
      <w:lvlJc w:val="right"/>
      <w:pPr>
        <w:ind w:left="1860" w:hanging="180"/>
      </w:pPr>
    </w:lvl>
    <w:lvl w:ilvl="3" w:tplc="629A185C">
      <w:start w:val="1"/>
      <w:numFmt w:val="decimal"/>
      <w:lvlText w:val="%4."/>
      <w:lvlJc w:val="left"/>
      <w:pPr>
        <w:ind w:left="2580" w:hanging="360"/>
      </w:pPr>
    </w:lvl>
    <w:lvl w:ilvl="4" w:tplc="CAB62488">
      <w:start w:val="1"/>
      <w:numFmt w:val="lowerLetter"/>
      <w:lvlText w:val="%5."/>
      <w:lvlJc w:val="left"/>
      <w:pPr>
        <w:ind w:left="3300" w:hanging="360"/>
      </w:pPr>
    </w:lvl>
    <w:lvl w:ilvl="5" w:tplc="DA6CFEDE">
      <w:start w:val="1"/>
      <w:numFmt w:val="lowerRoman"/>
      <w:lvlText w:val="%6."/>
      <w:lvlJc w:val="right"/>
      <w:pPr>
        <w:ind w:left="4020" w:hanging="180"/>
      </w:pPr>
    </w:lvl>
    <w:lvl w:ilvl="6" w:tplc="11D69376">
      <w:start w:val="1"/>
      <w:numFmt w:val="decimal"/>
      <w:lvlText w:val="%7."/>
      <w:lvlJc w:val="left"/>
      <w:pPr>
        <w:ind w:left="4740" w:hanging="360"/>
      </w:pPr>
    </w:lvl>
    <w:lvl w:ilvl="7" w:tplc="8ACA1266">
      <w:start w:val="1"/>
      <w:numFmt w:val="lowerLetter"/>
      <w:lvlText w:val="%8."/>
      <w:lvlJc w:val="left"/>
      <w:pPr>
        <w:ind w:left="5460" w:hanging="360"/>
      </w:pPr>
    </w:lvl>
    <w:lvl w:ilvl="8" w:tplc="26446996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B67624E"/>
    <w:multiLevelType w:val="multilevel"/>
    <w:tmpl w:val="19CA9FF2"/>
    <w:lvl w:ilvl="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 w15:restartNumberingAfterBreak="0">
    <w:nsid w:val="4C1D2FC7"/>
    <w:multiLevelType w:val="hybridMultilevel"/>
    <w:tmpl w:val="4EEC4D9A"/>
    <w:lvl w:ilvl="0" w:tplc="7CB013A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4380E0F8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 w:tplc="17D24924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 w:tplc="79982A4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BFCCAF8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 w:tplc="2EF836EE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 w:tplc="D274632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D0233FE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 w:tplc="EEDACD5E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 w15:restartNumberingAfterBreak="0">
    <w:nsid w:val="4EB948FB"/>
    <w:multiLevelType w:val="hybridMultilevel"/>
    <w:tmpl w:val="38CAECA4"/>
    <w:lvl w:ilvl="0" w:tplc="F836D57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 w:tplc="0D0E4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 w:tplc="FD647F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 w:tplc="0F20C2A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 w:tplc="B4A46E8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 w:tplc="EC72969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 w:tplc="82EC291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 w:tplc="B4188A3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 w:tplc="B4E2C0F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4F024833"/>
    <w:multiLevelType w:val="multilevel"/>
    <w:tmpl w:val="AB04331A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1" w15:restartNumberingAfterBreak="0">
    <w:nsid w:val="512E0AC4"/>
    <w:multiLevelType w:val="multilevel"/>
    <w:tmpl w:val="FD32322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22" w15:restartNumberingAfterBreak="0">
    <w:nsid w:val="53051E56"/>
    <w:multiLevelType w:val="hybridMultilevel"/>
    <w:tmpl w:val="21FE5A36"/>
    <w:lvl w:ilvl="0" w:tplc="5A864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B87AE4">
      <w:start w:val="1"/>
      <w:numFmt w:val="lowerLetter"/>
      <w:lvlText w:val="%2."/>
      <w:lvlJc w:val="left"/>
      <w:pPr>
        <w:ind w:left="1800" w:hanging="360"/>
      </w:pPr>
    </w:lvl>
    <w:lvl w:ilvl="2" w:tplc="E70085FA">
      <w:start w:val="1"/>
      <w:numFmt w:val="lowerRoman"/>
      <w:lvlText w:val="%3."/>
      <w:lvlJc w:val="right"/>
      <w:pPr>
        <w:ind w:left="2520" w:hanging="180"/>
      </w:pPr>
    </w:lvl>
    <w:lvl w:ilvl="3" w:tplc="5ABA2590">
      <w:start w:val="1"/>
      <w:numFmt w:val="decimal"/>
      <w:lvlText w:val="%4."/>
      <w:lvlJc w:val="left"/>
      <w:pPr>
        <w:ind w:left="3240" w:hanging="360"/>
      </w:pPr>
    </w:lvl>
    <w:lvl w:ilvl="4" w:tplc="6D7498D6">
      <w:start w:val="1"/>
      <w:numFmt w:val="lowerLetter"/>
      <w:lvlText w:val="%5."/>
      <w:lvlJc w:val="left"/>
      <w:pPr>
        <w:ind w:left="3960" w:hanging="360"/>
      </w:pPr>
    </w:lvl>
    <w:lvl w:ilvl="5" w:tplc="E2381A3E">
      <w:start w:val="1"/>
      <w:numFmt w:val="lowerRoman"/>
      <w:lvlText w:val="%6."/>
      <w:lvlJc w:val="right"/>
      <w:pPr>
        <w:ind w:left="4680" w:hanging="180"/>
      </w:pPr>
    </w:lvl>
    <w:lvl w:ilvl="6" w:tplc="0CB2731C">
      <w:start w:val="1"/>
      <w:numFmt w:val="decimal"/>
      <w:lvlText w:val="%7."/>
      <w:lvlJc w:val="left"/>
      <w:pPr>
        <w:ind w:left="5400" w:hanging="360"/>
      </w:pPr>
    </w:lvl>
    <w:lvl w:ilvl="7" w:tplc="92265914">
      <w:start w:val="1"/>
      <w:numFmt w:val="lowerLetter"/>
      <w:lvlText w:val="%8."/>
      <w:lvlJc w:val="left"/>
      <w:pPr>
        <w:ind w:left="6120" w:hanging="360"/>
      </w:pPr>
    </w:lvl>
    <w:lvl w:ilvl="8" w:tplc="F18E8AFC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4E36FE"/>
    <w:multiLevelType w:val="multilevel"/>
    <w:tmpl w:val="31BEAA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73B3BBC"/>
    <w:multiLevelType w:val="multilevel"/>
    <w:tmpl w:val="717409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FBE5057"/>
    <w:multiLevelType w:val="multilevel"/>
    <w:tmpl w:val="25EE68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0D40301"/>
    <w:multiLevelType w:val="multilevel"/>
    <w:tmpl w:val="B5027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E97A70"/>
    <w:multiLevelType w:val="multilevel"/>
    <w:tmpl w:val="0F92C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6161588"/>
    <w:multiLevelType w:val="multilevel"/>
    <w:tmpl w:val="746CB4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 w15:restartNumberingAfterBreak="0">
    <w:nsid w:val="668E3273"/>
    <w:multiLevelType w:val="multilevel"/>
    <w:tmpl w:val="4B767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3C51E0D"/>
    <w:multiLevelType w:val="multilevel"/>
    <w:tmpl w:val="CD5E3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6BD0944"/>
    <w:multiLevelType w:val="hybridMultilevel"/>
    <w:tmpl w:val="365A836E"/>
    <w:lvl w:ilvl="0" w:tplc="84007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C2486">
      <w:start w:val="1"/>
      <w:numFmt w:val="lowerLetter"/>
      <w:lvlText w:val="%2."/>
      <w:lvlJc w:val="left"/>
      <w:pPr>
        <w:ind w:left="1440" w:hanging="360"/>
      </w:pPr>
    </w:lvl>
    <w:lvl w:ilvl="2" w:tplc="6A221B26">
      <w:start w:val="1"/>
      <w:numFmt w:val="lowerRoman"/>
      <w:lvlText w:val="%3."/>
      <w:lvlJc w:val="right"/>
      <w:pPr>
        <w:ind w:left="2160" w:hanging="180"/>
      </w:pPr>
    </w:lvl>
    <w:lvl w:ilvl="3" w:tplc="E1F645B0">
      <w:start w:val="1"/>
      <w:numFmt w:val="decimal"/>
      <w:lvlText w:val="%4."/>
      <w:lvlJc w:val="left"/>
      <w:pPr>
        <w:ind w:left="2880" w:hanging="360"/>
      </w:pPr>
    </w:lvl>
    <w:lvl w:ilvl="4" w:tplc="0824A736">
      <w:start w:val="1"/>
      <w:numFmt w:val="lowerLetter"/>
      <w:lvlText w:val="%5."/>
      <w:lvlJc w:val="left"/>
      <w:pPr>
        <w:ind w:left="3600" w:hanging="360"/>
      </w:pPr>
    </w:lvl>
    <w:lvl w:ilvl="5" w:tplc="649E5F68">
      <w:start w:val="1"/>
      <w:numFmt w:val="lowerRoman"/>
      <w:lvlText w:val="%6."/>
      <w:lvlJc w:val="right"/>
      <w:pPr>
        <w:ind w:left="4320" w:hanging="180"/>
      </w:pPr>
    </w:lvl>
    <w:lvl w:ilvl="6" w:tplc="87F09D92">
      <w:start w:val="1"/>
      <w:numFmt w:val="decimal"/>
      <w:lvlText w:val="%7."/>
      <w:lvlJc w:val="left"/>
      <w:pPr>
        <w:ind w:left="5040" w:hanging="360"/>
      </w:pPr>
    </w:lvl>
    <w:lvl w:ilvl="7" w:tplc="6478A42E">
      <w:start w:val="1"/>
      <w:numFmt w:val="lowerLetter"/>
      <w:lvlText w:val="%8."/>
      <w:lvlJc w:val="left"/>
      <w:pPr>
        <w:ind w:left="5760" w:hanging="360"/>
      </w:pPr>
    </w:lvl>
    <w:lvl w:ilvl="8" w:tplc="2B3E613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B7980"/>
    <w:multiLevelType w:val="multilevel"/>
    <w:tmpl w:val="A6F21BC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5"/>
  </w:num>
  <w:num w:numId="2">
    <w:abstractNumId w:val="32"/>
  </w:num>
  <w:num w:numId="3">
    <w:abstractNumId w:val="5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17"/>
  </w:num>
  <w:num w:numId="9">
    <w:abstractNumId w:val="3"/>
  </w:num>
  <w:num w:numId="10">
    <w:abstractNumId w:val="25"/>
  </w:num>
  <w:num w:numId="11">
    <w:abstractNumId w:val="31"/>
  </w:num>
  <w:num w:numId="12">
    <w:abstractNumId w:val="14"/>
  </w:num>
  <w:num w:numId="13">
    <w:abstractNumId w:val="20"/>
  </w:num>
  <w:num w:numId="14">
    <w:abstractNumId w:val="21"/>
  </w:num>
  <w:num w:numId="15">
    <w:abstractNumId w:val="7"/>
  </w:num>
  <w:num w:numId="16">
    <w:abstractNumId w:val="2"/>
  </w:num>
  <w:num w:numId="17">
    <w:abstractNumId w:val="28"/>
  </w:num>
  <w:num w:numId="18">
    <w:abstractNumId w:val="11"/>
  </w:num>
  <w:num w:numId="19">
    <w:abstractNumId w:val="23"/>
  </w:num>
  <w:num w:numId="20">
    <w:abstractNumId w:val="6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"/>
  </w:num>
  <w:num w:numId="26">
    <w:abstractNumId w:val="24"/>
  </w:num>
  <w:num w:numId="27">
    <w:abstractNumId w:val="4"/>
  </w:num>
  <w:num w:numId="28">
    <w:abstractNumId w:val="30"/>
  </w:num>
  <w:num w:numId="29">
    <w:abstractNumId w:val="29"/>
  </w:num>
  <w:num w:numId="30">
    <w:abstractNumId w:val="27"/>
  </w:num>
  <w:num w:numId="31">
    <w:abstractNumId w:val="0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D"/>
    <w:rsid w:val="001E0E80"/>
    <w:rsid w:val="002D391A"/>
    <w:rsid w:val="0037762B"/>
    <w:rsid w:val="004E3D88"/>
    <w:rsid w:val="00821C01"/>
    <w:rsid w:val="00830D65"/>
    <w:rsid w:val="008E575F"/>
    <w:rsid w:val="009F3751"/>
    <w:rsid w:val="00A464E5"/>
    <w:rsid w:val="00A55959"/>
    <w:rsid w:val="00A74143"/>
    <w:rsid w:val="00C83BAA"/>
    <w:rsid w:val="00DA0F2B"/>
    <w:rsid w:val="00E73BBD"/>
    <w:rsid w:val="00F935A8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8494-1AE7-4EBB-A4E1-D23A767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jc w:val="center"/>
      <w:outlineLvl w:val="2"/>
    </w:pPr>
    <w:rPr>
      <w:rFonts w:eastAsia="Times New Roman"/>
      <w:b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EBEB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2D2D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1C1C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1A1A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696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FDF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D1D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969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B2B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5F5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4D4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FDFDF" w:themeColor="accent1" w:themeTint="EA"/>
          <w:left w:val="single" w:sz="4" w:space="0" w:color="DFDFDF" w:themeColor="accent1" w:themeTint="EA"/>
          <w:bottom w:val="single" w:sz="4" w:space="0" w:color="DFDFDF" w:themeColor="accent1" w:themeTint="EA"/>
          <w:right w:val="single" w:sz="4" w:space="0" w:color="DFDFDF" w:themeColor="accent1" w:themeTint="EA"/>
        </w:tcBorders>
        <w:shd w:val="clear" w:color="DFDFDF" w:themeColor="accent1" w:themeTint="EA" w:fill="DFDF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D1D1" w:themeColor="accent2" w:themeTint="97"/>
          <w:left w:val="single" w:sz="4" w:space="0" w:color="D1D1D1" w:themeColor="accent2" w:themeTint="97"/>
          <w:bottom w:val="single" w:sz="4" w:space="0" w:color="D1D1D1" w:themeColor="accent2" w:themeTint="97"/>
          <w:right w:val="single" w:sz="4" w:space="0" w:color="D1D1D1" w:themeColor="accent2" w:themeTint="97"/>
        </w:tcBorders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9696" w:themeColor="accent3" w:themeTint="FE"/>
          <w:left w:val="single" w:sz="4" w:space="0" w:color="969696" w:themeColor="accent3" w:themeTint="FE"/>
          <w:bottom w:val="single" w:sz="4" w:space="0" w:color="969696" w:themeColor="accent3" w:themeTint="FE"/>
          <w:right w:val="single" w:sz="4" w:space="0" w:color="969696" w:themeColor="accent3" w:themeTint="FE"/>
        </w:tcBorders>
        <w:shd w:val="clear" w:color="969696" w:themeColor="accent3" w:themeTint="FE" w:fill="96969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B2B2" w:themeColor="accent4" w:themeTint="9A"/>
          <w:left w:val="single" w:sz="4" w:space="0" w:color="B2B2B2" w:themeColor="accent4" w:themeTint="9A"/>
          <w:bottom w:val="single" w:sz="4" w:space="0" w:color="B2B2B2" w:themeColor="accent4" w:themeTint="9A"/>
          <w:right w:val="single" w:sz="4" w:space="0" w:color="B2B2B2" w:themeColor="accent4" w:themeTint="9A"/>
        </w:tcBorders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</w:tcBorders>
        <w:shd w:val="clear" w:color="5F5F5F" w:themeColor="accent5" w:fill="5F5F5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</w:tcBorders>
        <w:shd w:val="clear" w:color="4D4D4D" w:themeColor="accent6" w:fill="4D4D4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F8F8" w:themeColor="accent1" w:themeTint="34" w:fill="F8F8F8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DDDD" w:themeColor="accent1" w:fill="DDDDD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band1Vert">
      <w:tblPr/>
      <w:tcPr>
        <w:shd w:val="clear" w:color="EFEFEF" w:themeColor="accent1" w:themeTint="75" w:fill="EFEFEF" w:themeFill="accent1" w:themeFillTint="75"/>
      </w:tcPr>
    </w:tblStylePr>
    <w:tblStylePr w:type="band1Horz">
      <w:tblPr/>
      <w:tcPr>
        <w:shd w:val="clear" w:color="EFEFEF" w:themeColor="accent1" w:themeTint="75" w:fill="EFEFE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FEF" w:themeColor="accent2" w:themeTint="32" w:fill="EFEFEF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2B2B2" w:themeColor="accent2" w:fill="B2B2B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band1Vert">
      <w:tblPr/>
      <w:tcPr>
        <w:shd w:val="clear" w:color="DBDBDB" w:themeColor="accent2" w:themeTint="75" w:fill="DBDBDB" w:themeFill="accent2" w:themeFillTint="75"/>
      </w:tcPr>
    </w:tblStylePr>
    <w:tblStylePr w:type="band1Horz">
      <w:tblPr/>
      <w:tcPr>
        <w:shd w:val="clear" w:color="DBDBDB" w:themeColor="accent2" w:themeTint="75" w:fill="DBDBDB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9E9" w:themeColor="accent3" w:themeTint="34" w:fill="E9E9E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9696" w:themeColor="accent3" w:fill="96969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band1Vert">
      <w:tblPr/>
      <w:tcPr>
        <w:shd w:val="clear" w:color="CECECE" w:themeColor="accent3" w:themeTint="75" w:fill="CECECE" w:themeFill="accent3" w:themeFillTint="75"/>
      </w:tcPr>
    </w:tblStylePr>
    <w:tblStylePr w:type="band1Horz">
      <w:tblPr/>
      <w:tcPr>
        <w:shd w:val="clear" w:color="CECECE" w:themeColor="accent3" w:themeTint="75" w:fill="CECE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E5E5" w:themeColor="accent4" w:themeTint="34" w:fill="E5E5E5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8080" w:themeColor="accent4" w:fill="80808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DEDE" w:themeColor="accent5" w:themeTint="34" w:fill="DEDED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5F5F" w:themeColor="accent5" w:fill="5F5F5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band1Vert">
      <w:tblPr/>
      <w:tcPr>
        <w:shd w:val="clear" w:color="B5B5B5" w:themeColor="accent5" w:themeTint="75" w:fill="B5B5B5" w:themeFill="accent5" w:themeFillTint="75"/>
      </w:tcPr>
    </w:tblStylePr>
    <w:tblStylePr w:type="band1Horz">
      <w:tblPr/>
      <w:tcPr>
        <w:shd w:val="clear" w:color="B5B5B5" w:themeColor="accent5" w:themeTint="75" w:fill="B5B5B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ADA" w:themeColor="accent6" w:themeTint="34" w:fill="DADAD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4D4D" w:themeColor="accent6" w:fill="4D4D4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band1Vert">
      <w:tblPr/>
      <w:tcPr>
        <w:shd w:val="clear" w:color="ADADAD" w:themeColor="accent6" w:themeTint="75" w:fill="ADADAD" w:themeFill="accent6" w:themeFillTint="75"/>
      </w:tcPr>
    </w:tblStylePr>
    <w:tblStylePr w:type="band1Horz">
      <w:tblPr/>
      <w:tcPr>
        <w:shd w:val="clear" w:color="ADADAD" w:themeColor="accent6" w:themeTint="75" w:fill="ADADAD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</w:tblPr>
    <w:tblStylePr w:type="firstRow">
      <w:rPr>
        <w:b/>
        <w:color w:val="EDEDED" w:themeColor="accent1" w:themeTint="80" w:themeShade="95"/>
      </w:rPr>
      <w:tblPr/>
      <w:tcPr>
        <w:tcBorders>
          <w:bottom w:val="single" w:sz="12" w:space="0" w:color="EDEDED" w:themeColor="accent1" w:themeTint="80"/>
        </w:tcBorders>
      </w:tcPr>
    </w:tblStylePr>
    <w:tblStylePr w:type="lastRow">
      <w:rPr>
        <w:b/>
        <w:color w:val="EDEDED" w:themeColor="accent1" w:themeTint="80" w:themeShade="95"/>
      </w:rPr>
    </w:tblStylePr>
    <w:tblStylePr w:type="firstCol">
      <w:rPr>
        <w:b/>
        <w:color w:val="EDEDED" w:themeColor="accent1" w:themeTint="80" w:themeShade="95"/>
      </w:rPr>
    </w:tblStylePr>
    <w:tblStylePr w:type="lastCol">
      <w:rPr>
        <w:b/>
        <w:color w:val="EDEDED" w:themeColor="accent1" w:themeTint="80" w:themeShade="95"/>
      </w:r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b/>
        <w:color w:val="969696" w:themeColor="accent3" w:themeTint="FE" w:themeShade="95"/>
      </w:rPr>
      <w:tblPr/>
      <w:tcPr>
        <w:tcBorders>
          <w:bottom w:val="single" w:sz="12" w:space="0" w:color="969696" w:themeColor="accent3" w:themeTint="FE"/>
        </w:tcBorders>
      </w:tcPr>
    </w:tblStylePr>
    <w:tblStylePr w:type="lastRow">
      <w:rPr>
        <w:b/>
        <w:color w:val="969696" w:themeColor="accent3" w:themeTint="FE" w:themeShade="95"/>
      </w:rPr>
    </w:tblStylePr>
    <w:tblStylePr w:type="firstCol">
      <w:rPr>
        <w:b/>
        <w:color w:val="969696" w:themeColor="accent3" w:themeTint="FE" w:themeShade="95"/>
      </w:rPr>
    </w:tblStylePr>
    <w:tblStylePr w:type="lastCol">
      <w:rPr>
        <w:b/>
        <w:color w:val="969696" w:themeColor="accent3" w:themeTint="FE" w:themeShade="95"/>
      </w:r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</w:tblPr>
    <w:tblStylePr w:type="fir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EDE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single" w:sz="4" w:space="0" w:color="EDEDE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EDE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DEDE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</w:tblPr>
    <w:tblStylePr w:type="fir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</w:tblPr>
    <w:tblStylePr w:type="fir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6969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single" w:sz="4" w:space="0" w:color="96969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6969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6969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</w:tblPr>
    <w:tblStylePr w:type="fir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</w:tblPr>
    <w:tblStylePr w:type="fir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A4A4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single" w:sz="4" w:space="0" w:color="A4A4A4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A4A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single" w:sz="4" w:space="0" w:color="A4A4A4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</w:tblPr>
    <w:tblStylePr w:type="fir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9A9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single" w:sz="4" w:space="0" w:color="9A9A9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9A9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single" w:sz="4" w:space="0" w:color="9A9A9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2C2C2C" w:themeColor="accent6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808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808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5F5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4D4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DDD" w:themeColor="accent1"/>
          <w:bottom w:val="single" w:sz="4" w:space="0" w:color="DDDDD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1D1" w:themeColor="accent2" w:themeTint="97"/>
          <w:right w:val="single" w:sz="4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1D1" w:themeColor="accent2" w:themeTint="97"/>
          <w:bottom w:val="single" w:sz="4" w:space="0" w:color="D1D1D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C0C0" w:themeColor="accent3" w:themeTint="98" w:fill="C0C0C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C0C0" w:themeColor="accent3" w:themeTint="98"/>
          <w:right w:val="single" w:sz="4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C0C0" w:themeColor="accent3" w:themeTint="98"/>
          <w:bottom w:val="single" w:sz="4" w:space="0" w:color="C0C0C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B2B2" w:themeColor="accent4" w:themeTint="9A"/>
          <w:right w:val="single" w:sz="4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B2B2" w:themeColor="accent4" w:themeTint="9A"/>
          <w:bottom w:val="single" w:sz="4" w:space="0" w:color="B2B2B2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5" w:themeTint="9A" w:fill="9E9E9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9E9E" w:themeColor="accent5" w:themeTint="9A"/>
          <w:right w:val="single" w:sz="4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9E9E" w:themeColor="accent5" w:themeTint="9A"/>
          <w:bottom w:val="single" w:sz="4" w:space="0" w:color="9E9E9E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9494" w:themeColor="accent6" w:themeTint="98" w:fill="9494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9494" w:themeColor="accent6" w:themeTint="98"/>
          <w:right w:val="single" w:sz="4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9494" w:themeColor="accent6" w:themeTint="98"/>
          <w:bottom w:val="single" w:sz="4" w:space="0" w:color="949494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  <w:shd w:val="clear" w:color="DDDDDD" w:themeColor="accent1" w:fill="DDDDD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DDDD" w:themeColor="accent1"/>
          <w:bottom w:val="single" w:sz="12" w:space="0" w:color="FFFFFF" w:themeColor="light1"/>
        </w:tcBorders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DDD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DDD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DDDD" w:themeColor="accent1" w:fill="DDDDD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  <w:shd w:val="clear" w:color="D1D1D1" w:themeColor="accent2" w:themeTint="97" w:fill="D1D1D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D1D1" w:themeColor="accent2" w:themeTint="97"/>
          <w:bottom w:val="single" w:sz="12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D1D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D1D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  <w:shd w:val="clear" w:color="C0C0C0" w:themeColor="accent3" w:themeTint="98" w:fill="C0C0C0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C0C0" w:themeColor="accent3" w:themeTint="98"/>
          <w:bottom w:val="single" w:sz="12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C0C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C0C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  <w:shd w:val="clear" w:color="B2B2B2" w:themeColor="accent4" w:themeTint="9A" w:fill="B2B2B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B2B2" w:themeColor="accent4" w:themeTint="9A"/>
          <w:bottom w:val="single" w:sz="12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B2B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B2B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  <w:shd w:val="clear" w:color="9E9E9E" w:themeColor="accent5" w:themeTint="9A" w:fill="9E9E9E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9E9E" w:themeColor="accent5" w:themeTint="9A"/>
          <w:bottom w:val="single" w:sz="12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9E9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9E9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  <w:shd w:val="clear" w:color="949494" w:themeColor="accent6" w:themeTint="98" w:fill="949494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9494" w:themeColor="accent6" w:themeTint="98"/>
          <w:bottom w:val="single" w:sz="12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94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94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color w:val="818181" w:themeColor="accent1" w:themeShade="95"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color w:val="818181" w:themeColor="accent1" w:themeShade="95"/>
      </w:rPr>
      <w:tblPr/>
      <w:tcPr>
        <w:tcBorders>
          <w:top w:val="single" w:sz="4" w:space="0" w:color="DDDDDD" w:themeColor="accent1"/>
        </w:tcBorders>
      </w:tcPr>
    </w:tblStylePr>
    <w:tblStylePr w:type="firstCol">
      <w:rPr>
        <w:b/>
        <w:color w:val="818181" w:themeColor="accent1" w:themeShade="95"/>
      </w:rPr>
    </w:tblStylePr>
    <w:tblStylePr w:type="lastCol">
      <w:rPr>
        <w:b/>
        <w:color w:val="818181" w:themeColor="accent1" w:themeShade="95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1D1D1" w:themeColor="accent2" w:themeTint="97"/>
        <w:bottom w:val="single" w:sz="4" w:space="0" w:color="D1D1D1" w:themeColor="accent2" w:themeTint="97"/>
      </w:tblBorders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4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8"/>
        <w:bottom w:val="single" w:sz="4" w:space="0" w:color="C0C0C0" w:themeColor="accent3" w:themeTint="98"/>
      </w:tblBorders>
    </w:tblPr>
    <w:tblStylePr w:type="firstRow">
      <w:rPr>
        <w:b/>
        <w:color w:val="C0C0C0" w:themeColor="accent3" w:themeTint="98" w:themeShade="95"/>
      </w:rPr>
      <w:tblPr/>
      <w:tcPr>
        <w:tcBorders>
          <w:bottom w:val="single" w:sz="4" w:space="0" w:color="C0C0C0" w:themeColor="accent3" w:themeTint="98"/>
        </w:tcBorders>
      </w:tcPr>
    </w:tblStylePr>
    <w:tblStylePr w:type="lastRow">
      <w:rPr>
        <w:b/>
        <w:color w:val="C0C0C0" w:themeColor="accent3" w:themeTint="98" w:themeShade="95"/>
      </w:rPr>
      <w:tblPr/>
      <w:tcPr>
        <w:tcBorders>
          <w:top w:val="single" w:sz="4" w:space="0" w:color="C0C0C0" w:themeColor="accent3" w:themeTint="98"/>
        </w:tcBorders>
      </w:tcPr>
    </w:tblStylePr>
    <w:tblStylePr w:type="firstCol">
      <w:rPr>
        <w:b/>
        <w:color w:val="C0C0C0" w:themeColor="accent3" w:themeTint="98" w:themeShade="95"/>
      </w:rPr>
    </w:tblStylePr>
    <w:tblStylePr w:type="lastCol">
      <w:rPr>
        <w:b/>
        <w:color w:val="C0C0C0" w:themeColor="accent3" w:themeTint="98" w:themeShade="95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A"/>
        <w:bottom w:val="single" w:sz="4" w:space="0" w:color="B2B2B2" w:themeColor="accent4" w:themeTint="9A"/>
      </w:tblBorders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4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9E9E" w:themeColor="accent5" w:themeTint="9A"/>
        <w:bottom w:val="single" w:sz="4" w:space="0" w:color="9E9E9E" w:themeColor="accent5" w:themeTint="9A"/>
      </w:tblBorders>
    </w:tblPr>
    <w:tblStylePr w:type="firstRow">
      <w:rPr>
        <w:b/>
        <w:color w:val="9E9E9E" w:themeColor="accent5" w:themeTint="9A" w:themeShade="95"/>
      </w:rPr>
      <w:tblPr/>
      <w:tcPr>
        <w:tcBorders>
          <w:bottom w:val="single" w:sz="4" w:space="0" w:color="9E9E9E" w:themeColor="accent5" w:themeTint="9A"/>
        </w:tcBorders>
      </w:tcPr>
    </w:tblStylePr>
    <w:tblStylePr w:type="lastRow">
      <w:rPr>
        <w:b/>
        <w:color w:val="9E9E9E" w:themeColor="accent5" w:themeTint="9A" w:themeShade="95"/>
      </w:rPr>
      <w:tblPr/>
      <w:tcPr>
        <w:tcBorders>
          <w:top w:val="single" w:sz="4" w:space="0" w:color="9E9E9E" w:themeColor="accent5" w:themeTint="9A"/>
        </w:tcBorders>
      </w:tcPr>
    </w:tblStylePr>
    <w:tblStylePr w:type="firstCol">
      <w:rPr>
        <w:b/>
        <w:color w:val="9E9E9E" w:themeColor="accent5" w:themeTint="9A" w:themeShade="95"/>
      </w:rPr>
    </w:tblStylePr>
    <w:tblStylePr w:type="lastCol">
      <w:rPr>
        <w:b/>
        <w:color w:val="9E9E9E" w:themeColor="accent5" w:themeTint="9A" w:themeShade="95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8"/>
        <w:bottom w:val="single" w:sz="4" w:space="0" w:color="949494" w:themeColor="accent6" w:themeTint="98"/>
      </w:tblBorders>
    </w:tblPr>
    <w:tblStylePr w:type="firstRow">
      <w:rPr>
        <w:b/>
        <w:color w:val="949494" w:themeColor="accent6" w:themeTint="98" w:themeShade="95"/>
      </w:rPr>
      <w:tblPr/>
      <w:tcPr>
        <w:tcBorders>
          <w:bottom w:val="single" w:sz="4" w:space="0" w:color="949494" w:themeColor="accent6" w:themeTint="98"/>
        </w:tcBorders>
      </w:tcPr>
    </w:tblStylePr>
    <w:tblStylePr w:type="lastRow">
      <w:rPr>
        <w:b/>
        <w:color w:val="949494" w:themeColor="accent6" w:themeTint="98" w:themeShade="95"/>
      </w:rPr>
      <w:tblPr/>
      <w:tcPr>
        <w:tcBorders>
          <w:top w:val="single" w:sz="4" w:space="0" w:color="949494" w:themeColor="accent6" w:themeTint="98"/>
        </w:tcBorders>
      </w:tcPr>
    </w:tblStylePr>
    <w:tblStylePr w:type="firstCol">
      <w:rPr>
        <w:b/>
        <w:color w:val="949494" w:themeColor="accent6" w:themeTint="98" w:themeShade="95"/>
      </w:rPr>
    </w:tblStylePr>
    <w:tblStylePr w:type="lastCol">
      <w:rPr>
        <w:b/>
        <w:color w:val="949494" w:themeColor="accent6" w:themeTint="98" w:themeShade="95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DDDDD" w:themeColor="accent1"/>
      </w:tblBorders>
    </w:tblPr>
    <w:tblStylePr w:type="fir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DDD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single" w:sz="4" w:space="0" w:color="DDDDD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DDD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single" w:sz="4" w:space="0" w:color="DDDDD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1D1D1" w:themeColor="accent2" w:themeTint="97"/>
      </w:tblBorders>
    </w:tblPr>
    <w:tblStylePr w:type="fir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0C0C0" w:themeColor="accent3" w:themeTint="98"/>
      </w:tblBorders>
    </w:tblPr>
    <w:tblStylePr w:type="fir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C0C0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single" w:sz="4" w:space="0" w:color="C0C0C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C0C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0C0C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B2B2" w:themeColor="accent4" w:themeTint="9A"/>
      </w:tblBorders>
    </w:tblPr>
    <w:tblStylePr w:type="fir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E9E9E" w:themeColor="accent5" w:themeTint="9A"/>
      </w:tblBorders>
    </w:tblPr>
    <w:tblStylePr w:type="fir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E9E9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single" w:sz="4" w:space="0" w:color="9E9E9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E9E9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E9E9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49494" w:themeColor="accent6" w:themeTint="98"/>
      </w:tblBorders>
    </w:tblPr>
    <w:tblStylePr w:type="fir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9494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single" w:sz="4" w:space="0" w:color="9494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949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49494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DDD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DDD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1D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C0C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C0C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B2B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9E9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9E9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94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94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ab">
    <w:name w:val="List Paragraph"/>
    <w:basedOn w:val="a"/>
    <w:link w:val="ac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link w:val="ab"/>
    <w:uiPriority w:val="34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600" w:after="600" w:line="0" w:lineRule="atLeast"/>
      <w:jc w:val="center"/>
    </w:pPr>
    <w:rPr>
      <w:rFonts w:eastAsia="Times New Roman"/>
      <w:sz w:val="28"/>
      <w:szCs w:val="28"/>
      <w:lang w:eastAsia="en-US"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4">
    <w:name w:val="Абзсогл"/>
    <w:basedOn w:val="a"/>
    <w:pPr>
      <w:shd w:val="clear" w:color="auto" w:fill="FFFFFF"/>
      <w:spacing w:line="360" w:lineRule="auto"/>
      <w:ind w:firstLine="709"/>
      <w:jc w:val="both"/>
    </w:pPr>
    <w:rPr>
      <w:rFonts w:eastAsia="Times New Roman"/>
      <w:sz w:val="28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unhideWhenUsed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1">
    <w:name w:val="caption"/>
    <w:basedOn w:val="a"/>
    <w:unhideWhenUsed/>
    <w:qFormat/>
    <w:pPr>
      <w:jc w:val="center"/>
    </w:pPr>
    <w:rPr>
      <w:rFonts w:eastAsia="Times New Roman"/>
      <w:color w:val="0000FF"/>
      <w:sz w:val="28"/>
      <w:szCs w:val="20"/>
    </w:rPr>
  </w:style>
  <w:style w:type="character" w:styleId="aff2">
    <w:name w:val="Emphasis"/>
    <w:uiPriority w:val="20"/>
    <w:qFormat/>
    <w:rPr>
      <w:i/>
      <w:iCs/>
    </w:rPr>
  </w:style>
  <w:style w:type="character" w:customStyle="1" w:styleId="af9">
    <w:name w:val="Без интервала Знак"/>
    <w:link w:val="af8"/>
    <w:uiPriority w:val="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сновной текст_"/>
    <w:link w:val="3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f3"/>
    <w:pPr>
      <w:widowControl w:val="0"/>
      <w:shd w:val="clear" w:color="auto" w:fill="FFFFFF"/>
      <w:spacing w:before="420" w:line="322" w:lineRule="exact"/>
      <w:jc w:val="center"/>
    </w:pPr>
    <w:rPr>
      <w:rFonts w:eastAsia="Times New Roman" w:cstheme="minorBidi"/>
      <w:sz w:val="22"/>
      <w:szCs w:val="22"/>
      <w:lang w:eastAsia="en-US"/>
    </w:rPr>
  </w:style>
  <w:style w:type="paragraph" w:customStyle="1" w:styleId="aff4">
    <w:name w:val="подназвание"/>
    <w:basedOn w:val="a"/>
    <w:qFormat/>
    <w:pPr>
      <w:jc w:val="center"/>
    </w:pPr>
    <w:rPr>
      <w:rFonts w:ascii="Century Schoolbook" w:eastAsia="Times New Roman" w:hAnsi="Century Schoolbook"/>
      <w:b/>
      <w:color w:val="000080"/>
      <w:spacing w:val="-4"/>
      <w:sz w:val="28"/>
      <w:szCs w:val="40"/>
    </w:rPr>
  </w:style>
  <w:style w:type="paragraph" w:styleId="34">
    <w:name w:val="Body Text 3"/>
    <w:basedOn w:val="a"/>
    <w:link w:val="35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5">
    <w:name w:val="FollowedHyperlink"/>
    <w:basedOn w:val="a0"/>
    <w:uiPriority w:val="99"/>
    <w:semiHidden/>
    <w:unhideWhenUsed/>
    <w:rPr>
      <w:color w:val="919191" w:themeColor="followedHyperlink"/>
      <w:u w:val="singl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i/>
      <w:iCs/>
      <w:spacing w:val="-20"/>
      <w:sz w:val="28"/>
      <w:szCs w:val="28"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3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660" w:after="420" w:line="0" w:lineRule="atLeast"/>
      <w:jc w:val="both"/>
    </w:pPr>
    <w:rPr>
      <w:rFonts w:eastAsia="Times New Roman"/>
      <w:i/>
      <w:iCs/>
      <w:spacing w:val="-20"/>
      <w:sz w:val="28"/>
      <w:szCs w:val="28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ucoz-forum-post">
    <w:name w:val="ucoz-forum-pos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5947/e49872cd02917158885def16cf227ffeff8852d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6EE0-6227-4B9A-B6EE-AB4135C7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Панасова Елена Анатольевна</dc:creator>
  <cp:lastModifiedBy>Масленкина Светлана Григорьевна</cp:lastModifiedBy>
  <cp:revision>2</cp:revision>
  <cp:lastPrinted>2023-07-26T06:33:00Z</cp:lastPrinted>
  <dcterms:created xsi:type="dcterms:W3CDTF">2023-07-26T07:19:00Z</dcterms:created>
  <dcterms:modified xsi:type="dcterms:W3CDTF">2023-07-26T07:19:00Z</dcterms:modified>
</cp:coreProperties>
</file>